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活动</w:t>
      </w:r>
      <w:r>
        <w:rPr>
          <w:rFonts w:ascii="黑体" w:hAnsi="宋体" w:eastAsia="黑体"/>
          <w:b/>
          <w:bCs/>
          <w:sz w:val="72"/>
          <w:szCs w:val="72"/>
        </w:rPr>
        <w:t>场地</w:t>
      </w:r>
      <w:r>
        <w:rPr>
          <w:rFonts w:hint="eastAsia" w:ascii="黑体" w:hAnsi="宋体" w:eastAsia="黑体"/>
          <w:b/>
          <w:bCs/>
          <w:sz w:val="72"/>
          <w:szCs w:val="72"/>
          <w:lang w:val="en-US"/>
        </w:rPr>
        <w:t>遮阴率计算</w:t>
      </w:r>
      <w:r>
        <w:rPr>
          <w:rFonts w:hint="eastAsia" w:ascii="黑体" w:hAnsi="宋体" w:eastAsia="黑体"/>
          <w:b/>
          <w:bCs/>
          <w:sz w:val="72"/>
          <w:szCs w:val="72"/>
        </w:rPr>
        <w:t>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tblInd w:w="19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土建学院实训大楼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0" w:name="地理位置"/>
            <w:r>
              <w:rPr>
                <w:rFonts w:hint="eastAsia" w:ascii="宋体" w:hAnsi="宋体"/>
                <w:szCs w:val="21"/>
              </w:rPr>
              <w:t>泉州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1" w:name="设计编号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2" w:name="建设单位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设计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报告日期"/>
            <w:bookmarkEnd w:id="4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5" w:name="二维码"/>
      <w:bookmarkEnd w:id="5"/>
      <w:r>
        <w:drawing>
          <wp:inline distT="0" distB="0" distL="0" distR="0">
            <wp:extent cx="1514475" cy="151447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lang w:val="en-US"/>
        </w:rPr>
      </w:pPr>
    </w:p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6" w:name="软件全称"/>
            <w:r>
              <w:rPr>
                <w:rFonts w:hint="eastAsia" w:ascii="宋体" w:hAnsi="宋体"/>
              </w:rPr>
              <w:t>热环境TERA2020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7" w:name="软件版本"/>
            <w:r>
              <w:rPr>
                <w:rFonts w:ascii="宋体" w:hAnsi="宋体"/>
                <w:szCs w:val="18"/>
              </w:rPr>
              <w:t>20190808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加密锁号"/>
            <w:r>
              <w:t>T13015862687</w:t>
            </w:r>
            <w:bookmarkEnd w:id="8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bookmarkStart w:id="9" w:name="目录"/>
      <w:bookmarkEnd w:id="9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"_Toc16499895" </w:instrText>
      </w:r>
      <w:r>
        <w:fldChar w:fldCharType="separate"/>
      </w:r>
      <w:r>
        <w:rPr>
          <w:rStyle w:val="22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住区概况</w:t>
      </w:r>
      <w:r>
        <w:tab/>
      </w:r>
      <w:r>
        <w:fldChar w:fldCharType="begin"/>
      </w:r>
      <w:r>
        <w:instrText xml:space="preserve"> PAGEREF _Toc16499895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"_Toc16499896" </w:instrText>
      </w:r>
      <w:r>
        <w:fldChar w:fldCharType="separate"/>
      </w:r>
      <w:r>
        <w:rPr>
          <w:rStyle w:val="22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标准依据</w:t>
      </w:r>
      <w:r>
        <w:tab/>
      </w:r>
      <w:r>
        <w:fldChar w:fldCharType="begin"/>
      </w:r>
      <w:r>
        <w:instrText xml:space="preserve"> PAGEREF _Toc16499896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"_Toc16499897" </w:instrText>
      </w:r>
      <w:r>
        <w:fldChar w:fldCharType="separate"/>
      </w:r>
      <w:r>
        <w:rPr>
          <w:rStyle w:val="22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指标要求</w:t>
      </w:r>
      <w:r>
        <w:tab/>
      </w:r>
      <w:r>
        <w:fldChar w:fldCharType="begin"/>
      </w:r>
      <w:r>
        <w:instrText xml:space="preserve"> PAGEREF _Toc16499897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"_Toc16499898" </w:instrText>
      </w:r>
      <w:r>
        <w:fldChar w:fldCharType="separate"/>
      </w:r>
      <w:r>
        <w:rPr>
          <w:rStyle w:val="22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规范要求</w:t>
      </w:r>
      <w:r>
        <w:tab/>
      </w:r>
      <w:r>
        <w:fldChar w:fldCharType="begin"/>
      </w:r>
      <w:r>
        <w:instrText xml:space="preserve"> PAGEREF _Toc16499898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"_Toc16499899" </w:instrText>
      </w:r>
      <w:r>
        <w:fldChar w:fldCharType="separate"/>
      </w:r>
      <w:r>
        <w:rPr>
          <w:rStyle w:val="22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遮阴概述</w:t>
      </w:r>
      <w:r>
        <w:tab/>
      </w:r>
      <w:r>
        <w:fldChar w:fldCharType="begin"/>
      </w:r>
      <w:r>
        <w:instrText xml:space="preserve"> PAGEREF _Toc16499899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"_Toc16499900" </w:instrText>
      </w:r>
      <w:r>
        <w:fldChar w:fldCharType="separate"/>
      </w:r>
      <w:r>
        <w:rPr>
          <w:rStyle w:val="22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计算方法</w:t>
      </w:r>
      <w:r>
        <w:tab/>
      </w:r>
      <w:r>
        <w:fldChar w:fldCharType="begin"/>
      </w:r>
      <w:r>
        <w:instrText xml:space="preserve"> PAGEREF _Toc16499900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"_Toc16499901" </w:instrText>
      </w:r>
      <w:r>
        <w:fldChar w:fldCharType="separate"/>
      </w:r>
      <w:r>
        <w:rPr>
          <w:rStyle w:val="22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指标概览</w:t>
      </w:r>
      <w:r>
        <w:tab/>
      </w:r>
      <w:r>
        <w:fldChar w:fldCharType="begin"/>
      </w:r>
      <w:r>
        <w:instrText xml:space="preserve"> PAGEREF _Toc16499901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"_Toc16499902" </w:instrText>
      </w:r>
      <w:r>
        <w:fldChar w:fldCharType="separate"/>
      </w:r>
      <w:r>
        <w:rPr>
          <w:rStyle w:val="22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建筑列表</w:t>
      </w:r>
      <w:r>
        <w:tab/>
      </w:r>
      <w:r>
        <w:fldChar w:fldCharType="begin"/>
      </w:r>
      <w:r>
        <w:instrText xml:space="preserve"> PAGEREF _Toc16499902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"_Toc16499903" </w:instrText>
      </w:r>
      <w:r>
        <w:fldChar w:fldCharType="separate"/>
      </w:r>
      <w:r>
        <w:rPr>
          <w:rStyle w:val="22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各类面积指标</w:t>
      </w:r>
      <w:r>
        <w:tab/>
      </w:r>
      <w:r>
        <w:fldChar w:fldCharType="begin"/>
      </w:r>
      <w:r>
        <w:instrText xml:space="preserve"> PAGEREF _Toc16499903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"_Toc16499904" </w:instrText>
      </w:r>
      <w:r>
        <w:fldChar w:fldCharType="separate"/>
      </w:r>
      <w:r>
        <w:rPr>
          <w:rStyle w:val="22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计算结果</w:t>
      </w:r>
      <w:r>
        <w:tab/>
      </w:r>
      <w:r>
        <w:fldChar w:fldCharType="begin"/>
      </w:r>
      <w:r>
        <w:instrText xml:space="preserve"> PAGEREF _Toc16499904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"_Toc16499905" </w:instrText>
      </w:r>
      <w:r>
        <w:fldChar w:fldCharType="separate"/>
      </w:r>
      <w:r>
        <w:rPr>
          <w:rStyle w:val="22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活动场地遮阴图</w:t>
      </w:r>
      <w:r>
        <w:tab/>
      </w:r>
      <w:r>
        <w:fldChar w:fldCharType="begin"/>
      </w:r>
      <w:r>
        <w:instrText xml:space="preserve"> PAGEREF _Toc16499905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"_Toc16499906" </w:instrText>
      </w:r>
      <w:r>
        <w:fldChar w:fldCharType="separate"/>
      </w:r>
      <w:r>
        <w:rPr>
          <w:rStyle w:val="22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评价结论</w:t>
      </w:r>
      <w:r>
        <w:tab/>
      </w:r>
      <w:r>
        <w:fldChar w:fldCharType="begin"/>
      </w:r>
      <w:r>
        <w:instrText xml:space="preserve"> PAGEREF _Toc16499906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fldChar w:fldCharType="end"/>
      </w:r>
    </w:p>
    <w:p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>
      <w:pPr>
        <w:pStyle w:val="2"/>
      </w:pPr>
      <w:bookmarkStart w:id="10" w:name="_Toc16499895"/>
      <w:bookmarkStart w:id="11" w:name="_Toc401318136"/>
      <w:r>
        <w:rPr>
          <w:rFonts w:hint="eastAsia"/>
        </w:rPr>
        <w:t>住区概况</w:t>
      </w:r>
      <w:bookmarkEnd w:id="10"/>
      <w:bookmarkEnd w:id="11"/>
    </w:p>
    <w:tbl>
      <w:tblPr>
        <w:tblStyle w:val="18"/>
        <w:tblW w:w="0" w:type="auto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土建学院实训大楼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地点"/>
            <w:r>
              <w:rPr>
                <w:rFonts w:hint="eastAsia" w:ascii="宋体" w:hAnsi="宋体"/>
                <w:lang w:val="en-US"/>
              </w:rPr>
              <w:t>泉州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</w:t>
            </w:r>
            <w:r>
              <w:rPr>
                <w:rFonts w:ascii="宋体" w:hAnsi="宋体"/>
                <w:lang w:val="en-US"/>
              </w:rPr>
              <w:t>类型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建筑类型"/>
            <w:r>
              <w:t>公共建筑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ascii="宋体" w:hAnsi="宋体"/>
                <w:lang w:val="en-US"/>
              </w:rPr>
              <w:t>24.93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ascii="宋体" w:hAnsi="宋体"/>
                <w:lang w:val="en-US"/>
              </w:rPr>
              <w:t>118.60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</w:tbl>
    <w:p>
      <w:pPr>
        <w:pStyle w:val="2"/>
      </w:pPr>
      <w:bookmarkStart w:id="16" w:name="_Toc16499896"/>
      <w:bookmarkStart w:id="17" w:name="TitleFormat"/>
      <w:r>
        <w:rPr>
          <w:rFonts w:hint="eastAsia"/>
        </w:rPr>
        <w:t>标准</w:t>
      </w:r>
      <w:bookmarkStart w:id="18" w:name="_Toc401318137"/>
      <w:r>
        <w:rPr>
          <w:rFonts w:hint="eastAsia"/>
        </w:rPr>
        <w:t>依据</w:t>
      </w:r>
      <w:bookmarkEnd w:id="16"/>
      <w:bookmarkEnd w:id="18"/>
    </w:p>
    <w:p>
      <w:pPr>
        <w:pStyle w:val="3"/>
        <w:ind w:left="840" w:hanging="420" w:firstLineChars="0"/>
        <w:rPr>
          <w:lang w:val="en-US"/>
        </w:rPr>
      </w:pPr>
      <w:r>
        <w:rPr>
          <w:rFonts w:hint="eastAsia"/>
          <w:lang w:val="en-US"/>
        </w:rPr>
        <w:t>1.《绿色建筑评价标准》（JG/T50378-2019）</w:t>
      </w:r>
      <w:bookmarkStart w:id="35" w:name="_GoBack"/>
      <w:bookmarkEnd w:id="35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2.《建筑日照计算参数标准》（JG/T50947-2014）</w:t>
      </w:r>
    </w:p>
    <w:p>
      <w:pPr>
        <w:pStyle w:val="2"/>
      </w:pPr>
      <w:bookmarkStart w:id="19" w:name="_Toc16499897"/>
      <w:r>
        <w:rPr>
          <w:rFonts w:hint="eastAsia"/>
        </w:rPr>
        <w:t>指标要求</w:t>
      </w:r>
      <w:bookmarkEnd w:id="19"/>
    </w:p>
    <w:p>
      <w:pPr>
        <w:pStyle w:val="4"/>
      </w:pPr>
      <w:bookmarkStart w:id="20" w:name="_Toc16499898"/>
      <w:r>
        <w:rPr>
          <w:rFonts w:hint="eastAsia"/>
        </w:rPr>
        <w:t>规范要求</w:t>
      </w:r>
      <w:bookmarkEnd w:id="20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《绿色建筑评价标准》（JG/T50378-2019）中有关活动场地遮阴率的具体要求如下：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8.2.9 采取措施降低热岛强度，评价总分值为4分，并按下列规则分别评分并累计：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1、场</w:t>
      </w:r>
      <w:r>
        <w:rPr>
          <w:lang w:val="en-US"/>
        </w:rPr>
        <w:t>地中</w:t>
      </w:r>
      <w:r>
        <w:rPr>
          <w:rFonts w:hint="eastAsia"/>
          <w:lang w:val="en-US"/>
        </w:rPr>
        <w:t>处</w:t>
      </w:r>
      <w:r>
        <w:rPr>
          <w:lang w:val="en-US"/>
        </w:rPr>
        <w:t>于建筑阴影区外的步道、游憩</w:t>
      </w:r>
      <w:r>
        <w:rPr>
          <w:rFonts w:hint="eastAsia"/>
          <w:lang w:val="en-US"/>
        </w:rPr>
        <w:t>场</w:t>
      </w:r>
      <w:r>
        <w:rPr>
          <w:lang w:val="en-US"/>
        </w:rPr>
        <w:t>、庭院、广</w:t>
      </w:r>
      <w:r>
        <w:rPr>
          <w:rFonts w:hint="eastAsia"/>
          <w:lang w:val="en-US"/>
        </w:rPr>
        <w:t>场等室外活动场</w:t>
      </w:r>
      <w:r>
        <w:rPr>
          <w:lang w:val="en-US"/>
        </w:rPr>
        <w:t>地</w:t>
      </w:r>
      <w:r>
        <w:rPr>
          <w:rFonts w:hint="eastAsia"/>
          <w:lang w:val="en-US"/>
        </w:rPr>
        <w:t>设</w:t>
      </w:r>
      <w:r>
        <w:rPr>
          <w:lang w:val="en-US"/>
        </w:rPr>
        <w:t>有</w:t>
      </w:r>
      <w:r>
        <w:rPr>
          <w:rFonts w:hint="eastAsia"/>
          <w:lang w:val="en-US"/>
        </w:rPr>
        <w:t>乔</w:t>
      </w:r>
      <w:r>
        <w:rPr>
          <w:lang w:val="en-US"/>
        </w:rPr>
        <w:t>木、花架等遮阴措施的面</w:t>
      </w:r>
      <w:r>
        <w:rPr>
          <w:rFonts w:hint="eastAsia"/>
          <w:lang w:val="en-US"/>
        </w:rPr>
        <w:t>积</w:t>
      </w:r>
      <w:r>
        <w:rPr>
          <w:lang w:val="en-US"/>
        </w:rPr>
        <w:t>比例，住宅建</w:t>
      </w:r>
      <w:r>
        <w:rPr>
          <w:rFonts w:hint="eastAsia"/>
          <w:lang w:val="en-US"/>
        </w:rPr>
        <w:t>筑达到</w:t>
      </w:r>
      <w:r>
        <w:rPr>
          <w:lang w:val="en-US"/>
        </w:rPr>
        <w:t xml:space="preserve">30%,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10%,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2 </w:t>
      </w:r>
      <w:r>
        <w:rPr>
          <w:rFonts w:hint="eastAsia"/>
          <w:lang w:val="en-US"/>
        </w:rPr>
        <w:t>分；住宅建筑达到</w:t>
      </w:r>
      <w:r>
        <w:rPr>
          <w:lang w:val="en-US"/>
        </w:rPr>
        <w:t xml:space="preserve">50%,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20%,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分；。</w:t>
      </w:r>
    </w:p>
    <w:p>
      <w:pPr>
        <w:pStyle w:val="4"/>
        <w:numPr>
          <w:ilvl w:val="1"/>
          <w:numId w:val="2"/>
        </w:numPr>
      </w:pPr>
      <w:bookmarkStart w:id="21" w:name="_Toc16499899"/>
      <w:r>
        <w:rPr>
          <w:rFonts w:hint="eastAsia"/>
        </w:rPr>
        <w:t>遮阴概述</w:t>
      </w:r>
      <w:bookmarkEnd w:id="21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遮阴面积即户外活动场地中设有乔木、爬藤花架等遮阴设施所占面积所占的比例。户外活动场地包括：道路、庭院、广场、游憩场。而遮阴率计算中需要排除建筑阴影区。</w:t>
      </w:r>
    </w:p>
    <w:p>
      <w:pPr>
        <w:pStyle w:val="4"/>
        <w:numPr>
          <w:ilvl w:val="1"/>
          <w:numId w:val="2"/>
        </w:numPr>
      </w:pPr>
      <w:bookmarkStart w:id="22" w:name="_Toc16499900"/>
      <w:r>
        <w:rPr>
          <w:rFonts w:hint="eastAsia"/>
        </w:rPr>
        <w:t>计算方法</w:t>
      </w:r>
      <w:bookmarkEnd w:id="22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（建筑日影遮阴范围外的绿化遮阴面积</w:t>
      </w:r>
      <w:r>
        <w:rPr>
          <w:lang w:val="en-US"/>
        </w:rPr>
        <w:t>+</w:t>
      </w:r>
      <w:r>
        <w:rPr>
          <w:rFonts w:hint="eastAsia"/>
          <w:lang w:val="en-US"/>
        </w:rPr>
        <w:t>建筑日影遮阴范围外的构筑物遮阴面积）</w:t>
      </w:r>
      <w:r>
        <w:rPr>
          <w:lang w:val="en-US"/>
        </w:rPr>
        <w:t xml:space="preserve">/ </w:t>
      </w:r>
      <w:r>
        <w:rPr>
          <w:rFonts w:hint="eastAsia"/>
          <w:lang w:val="en-US"/>
        </w:rPr>
        <w:t>（活动场地面积</w:t>
      </w:r>
      <w:r>
        <w:rPr>
          <w:lang w:val="en-US"/>
        </w:rPr>
        <w:t>-</w:t>
      </w:r>
      <w:r>
        <w:rPr>
          <w:rFonts w:hint="eastAsia"/>
          <w:lang w:val="en-US"/>
        </w:rPr>
        <w:t>建筑日影遮阴面积）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>
      <w:pPr>
        <w:pStyle w:val="3"/>
        <w:numPr>
          <w:ilvl w:val="0"/>
          <w:numId w:val="3"/>
        </w:numPr>
        <w:ind w:firstLine="420"/>
        <w:rPr>
          <w:lang w:val="en-US"/>
        </w:rPr>
      </w:pPr>
      <w:r>
        <w:rPr>
          <w:rFonts w:hint="eastAsia"/>
          <w:lang w:val="en-US"/>
        </w:rPr>
        <w:t>绿化</w:t>
      </w:r>
      <w:r>
        <w:rPr>
          <w:lang w:val="en-US"/>
        </w:rPr>
        <w:t>/</w:t>
      </w:r>
      <w:r>
        <w:rPr>
          <w:rFonts w:hint="eastAsia"/>
          <w:lang w:val="en-US"/>
        </w:rPr>
        <w:t>构筑物遮阴面积：按照活动场地范围内绿化体树冠或棚架正投影面积计算，构筑物遮阴面积按照构筑物正投影面积计算；</w:t>
      </w:r>
    </w:p>
    <w:p>
      <w:pPr>
        <w:pStyle w:val="3"/>
        <w:numPr>
          <w:ilvl w:val="0"/>
          <w:numId w:val="3"/>
        </w:numPr>
        <w:ind w:firstLine="420"/>
        <w:rPr>
          <w:lang w:val="en-US"/>
        </w:rPr>
      </w:pPr>
      <w:r>
        <w:rPr>
          <w:rFonts w:hint="eastAsia"/>
          <w:lang w:val="en-US"/>
        </w:rPr>
        <w:t>建筑日影遮阴面积：在日照基准年（</w:t>
      </w:r>
      <w:r>
        <w:rPr>
          <w:lang w:val="en-US"/>
        </w:rPr>
        <w:t>2001</w:t>
      </w:r>
      <w:r>
        <w:rPr>
          <w:rFonts w:hint="eastAsia"/>
          <w:lang w:val="en-US"/>
        </w:rPr>
        <w:t>）夏至日（</w:t>
      </w:r>
      <w:r>
        <w:rPr>
          <w:lang w:val="en-US"/>
        </w:rPr>
        <w:t>6</w:t>
      </w:r>
      <w:r>
        <w:rPr>
          <w:rFonts w:hint="eastAsia"/>
          <w:lang w:val="en-US"/>
        </w:rPr>
        <w:t>月</w:t>
      </w:r>
      <w:r>
        <w:rPr>
          <w:lang w:val="en-US"/>
        </w:rPr>
        <w:t>21</w:t>
      </w:r>
      <w:r>
        <w:rPr>
          <w:rFonts w:hint="eastAsia"/>
          <w:lang w:val="en-US"/>
        </w:rPr>
        <w:t>日）的</w:t>
      </w:r>
      <w:r>
        <w:rPr>
          <w:lang w:val="en-US"/>
        </w:rPr>
        <w:t>8</w:t>
      </w:r>
      <w:r>
        <w:rPr>
          <w:rFonts w:hint="eastAsia"/>
          <w:lang w:val="en-US"/>
        </w:rPr>
        <w:t>：</w:t>
      </w:r>
      <w:r>
        <w:rPr>
          <w:lang w:val="en-US"/>
        </w:rPr>
        <w:t>00~16</w:t>
      </w:r>
      <w:r>
        <w:rPr>
          <w:rFonts w:hint="eastAsia"/>
          <w:lang w:val="en-US"/>
        </w:rPr>
        <w:t>：</w:t>
      </w:r>
      <w:r>
        <w:rPr>
          <w:lang w:val="en-US"/>
        </w:rPr>
        <w:t>00</w:t>
      </w:r>
      <w:r>
        <w:rPr>
          <w:rFonts w:hint="eastAsia"/>
          <w:lang w:val="en-US"/>
        </w:rPr>
        <w:t>内，有</w:t>
      </w:r>
      <w:r>
        <w:rPr>
          <w:lang w:val="en-US"/>
        </w:rPr>
        <w:t>4h</w:t>
      </w:r>
      <w:r>
        <w:rPr>
          <w:rFonts w:hint="eastAsia"/>
          <w:lang w:val="en-US"/>
        </w:rPr>
        <w:t>及以上处于建筑阴影区域内的户外活动场地面积。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 xml:space="preserve">     </w:t>
      </w:r>
      <w:r>
        <w:rPr>
          <w:rFonts w:hint="eastAsia"/>
          <w:lang w:val="en-US"/>
        </w:rPr>
        <w:t>说明：绿化遮阴面积、构筑物遮阴、建筑日影遮阴不重复计算相互之间重叠部分的面积。</w:t>
      </w:r>
    </w:p>
    <w:bookmarkEnd w:id="17"/>
    <w:p>
      <w:pPr>
        <w:pStyle w:val="2"/>
      </w:pPr>
      <w:bookmarkStart w:id="23" w:name="_Toc401318141"/>
      <w:bookmarkStart w:id="24" w:name="_Toc16499901"/>
      <w:r>
        <w:rPr>
          <w:rFonts w:hint="eastAsia"/>
        </w:rPr>
        <w:t>指标概览</w:t>
      </w:r>
      <w:bookmarkEnd w:id="23"/>
      <w:bookmarkEnd w:id="24"/>
    </w:p>
    <w:p>
      <w:pPr>
        <w:pStyle w:val="4"/>
      </w:pPr>
      <w:bookmarkStart w:id="25" w:name="_Toc16499902"/>
      <w:r>
        <w:rPr>
          <w:rFonts w:hint="eastAsia"/>
        </w:rPr>
        <w:t>建筑列表</w:t>
      </w:r>
      <w:bookmarkEnd w:id="2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8"/>
        <w:gridCol w:w="3107"/>
        <w:gridCol w:w="3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基底面积(㎡)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建筑高度(m)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4083.8</w:t>
            </w:r>
          </w:p>
        </w:tc>
        <w:tc>
          <w:tcPr>
            <w:vAlign w:val="center"/>
          </w:tcPr>
          <w:p>
            <w:r>
              <w:t>50.7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26" w:name="建筑列表"/>
      <w:bookmarkEnd w:id="26"/>
    </w:p>
    <w:p>
      <w:pPr>
        <w:pStyle w:val="4"/>
      </w:pPr>
      <w:bookmarkStart w:id="27" w:name="_Toc16499903"/>
      <w:r>
        <w:rPr>
          <w:rFonts w:hint="eastAsia"/>
        </w:rPr>
        <w:t>各类面积指标</w:t>
      </w:r>
      <w:bookmarkEnd w:id="2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3"/>
        <w:gridCol w:w="423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指标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地块(红线)面积(㎡)</w:t>
            </w:r>
          </w:p>
        </w:tc>
        <w:tc>
          <w:tcPr>
            <w:vAlign w:val="center"/>
          </w:tcPr>
          <w:p>
            <w:r>
              <w:t>83944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建筑密度</w:t>
            </w:r>
          </w:p>
        </w:tc>
        <w:tc>
          <w:tcPr>
            <w:vAlign w:val="center"/>
          </w:tcPr>
          <w:p>
            <w:r>
              <w:t>0.05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室外面积(㎡)</w:t>
            </w:r>
          </w:p>
        </w:tc>
        <w:tc>
          <w:tcPr>
            <w:vAlign w:val="center"/>
          </w:tcPr>
          <w:p>
            <w:r>
              <w:t>79860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活动场地总面积(㎡)</w:t>
            </w:r>
          </w:p>
        </w:tc>
        <w:tc>
          <w:tcPr>
            <w:vAlign w:val="center"/>
          </w:tcPr>
          <w:p>
            <w:r>
              <w:t>1303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乔木总投影面积(㎡)</w:t>
            </w:r>
          </w:p>
        </w:tc>
        <w:tc>
          <w:tcPr>
            <w:vAlign w:val="center"/>
          </w:tcPr>
          <w:p>
            <w:r>
              <w:t>978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爬藤总投影面积(㎡)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亭廊总投影面积(㎡)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28" w:name="面积指标"/>
      <w:bookmarkEnd w:id="28"/>
    </w:p>
    <w:p>
      <w:pPr>
        <w:pStyle w:val="2"/>
      </w:pPr>
      <w:bookmarkStart w:id="29" w:name="_Toc16499904"/>
      <w:r>
        <w:rPr>
          <w:rFonts w:hint="eastAsia"/>
        </w:rPr>
        <w:t>计算结果</w:t>
      </w:r>
      <w:bookmarkEnd w:id="2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165"/>
        <w:gridCol w:w="1165"/>
        <w:gridCol w:w="1165"/>
        <w:gridCol w:w="1165"/>
        <w:gridCol w:w="1165"/>
        <w:gridCol w:w="1165"/>
        <w:gridCol w:w="11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活动场地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绿化遮阴(㎡)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构筑物</w:t>
            </w:r>
            <w:r>
              <w:br w:type="textWrapping"/>
            </w:r>
            <w:r>
              <w:t>遮阴(㎡)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日影面积</w:t>
            </w:r>
            <w:r>
              <w:br w:type="textWrapping"/>
            </w:r>
            <w:r>
              <w:t>(㎡)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总遮阴面积(㎡)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场地面积</w:t>
            </w:r>
            <w:r>
              <w:br w:type="textWrapping"/>
            </w:r>
            <w:r>
              <w:t>(㎡)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遮阴率(%)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shd w:val="clear" w:color="auto" w:fill="E6E6E6"/>
            <w:vAlign w:val="center"/>
          </w:tcPr>
          <w:p>
            <w:r>
              <w:t>乔木面积</w:t>
            </w:r>
          </w:p>
        </w:tc>
        <w:tc>
          <w:tcPr>
            <w:shd w:val="clear" w:color="auto" w:fill="E6E6E6"/>
            <w:vAlign w:val="center"/>
          </w:tcPr>
          <w:p>
            <w:r>
              <w:t>爬藤面积</w:t>
            </w:r>
          </w:p>
        </w:tc>
        <w:tc>
          <w:tcPr>
            <w:shd w:val="clear" w:color="auto" w:fill="E6E6E6"/>
            <w:vAlign w:val="center"/>
          </w:tcPr>
          <w:p>
            <w:r>
              <w:t>亭廊面积</w:t>
            </w:r>
          </w:p>
        </w:tc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shd w:val="clear" w:color="auto" w:fill="E6E6E6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广场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28.0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1302.8</w:t>
            </w:r>
          </w:p>
        </w:tc>
        <w:tc>
          <w:tcPr>
            <w:vAlign w:val="center"/>
          </w:tcPr>
          <w:p>
            <w:r>
              <w:t>0.0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0" w:name="计算结果"/>
      <w:bookmarkEnd w:id="30"/>
    </w:p>
    <w:p>
      <w:pPr>
        <w:pStyle w:val="2"/>
      </w:pPr>
      <w:bookmarkStart w:id="31" w:name="_Toc16499905"/>
      <w:r>
        <w:rPr>
          <w:rFonts w:hint="eastAsia"/>
        </w:rPr>
        <w:t>活动场地遮阴图</w:t>
      </w:r>
      <w:bookmarkEnd w:id="31"/>
    </w:p>
    <w:p>
      <w:pPr>
        <w:pStyle w:val="3"/>
        <w:ind w:firstLine="0" w:firstLineChars="0"/>
        <w:jc w:val="center"/>
        <w:rPr>
          <w:lang w:val="en-US"/>
        </w:rPr>
      </w:pPr>
      <w:bookmarkStart w:id="32" w:name="阴影平面图"/>
      <w:bookmarkEnd w:id="32"/>
      <w:r>
        <w:drawing>
          <wp:inline distT="0" distB="0" distL="0" distR="0">
            <wp:extent cx="5419725" cy="394335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0294" cy="3943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rPr>
          <w:lang w:val="en-US"/>
        </w:rPr>
      </w:pPr>
    </w:p>
    <w:p>
      <w:pPr>
        <w:pStyle w:val="2"/>
      </w:pPr>
      <w:bookmarkStart w:id="33" w:name="_Toc16499906"/>
      <w:r>
        <w:rPr>
          <w:rFonts w:hint="eastAsia"/>
        </w:rPr>
        <w:t>评价结论</w:t>
      </w:r>
      <w:bookmarkEnd w:id="33"/>
    </w:p>
    <w:p>
      <w:pPr>
        <w:widowControl w:val="0"/>
        <w:spacing w:line="360" w:lineRule="auto"/>
        <w:ind w:firstLine="420" w:firstLineChars="200"/>
        <w:jc w:val="both"/>
        <w:rPr>
          <w:rFonts w:ascii="宋体" w:hAnsi="宋体"/>
          <w:kern w:val="2"/>
          <w:szCs w:val="21"/>
          <w:lang w:val="en-US"/>
        </w:rPr>
      </w:pPr>
      <w:r>
        <w:rPr>
          <w:rFonts w:hint="eastAsia" w:ascii="宋体" w:hAnsi="宋体"/>
          <w:kern w:val="2"/>
          <w:szCs w:val="21"/>
          <w:lang w:val="en-US"/>
        </w:rPr>
        <w:t>根据《绿色建筑评价标准》GB/T 50378-201</w:t>
      </w:r>
      <w:r>
        <w:rPr>
          <w:rFonts w:ascii="宋体" w:hAnsi="宋体"/>
          <w:kern w:val="2"/>
          <w:szCs w:val="21"/>
          <w:lang w:val="en-US"/>
        </w:rPr>
        <w:t>9</w:t>
      </w:r>
      <w:r>
        <w:rPr>
          <w:rFonts w:hint="eastAsia" w:ascii="宋体" w:hAnsi="宋体"/>
          <w:kern w:val="2"/>
          <w:szCs w:val="21"/>
          <w:lang w:val="en-US"/>
        </w:rPr>
        <w:t>的8.2.9条款进行以上评价计算，得出本项目活动场地遮阴率的评分项得分，如下：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1"/>
        <w:gridCol w:w="2263"/>
        <w:gridCol w:w="2263"/>
        <w:gridCol w:w="22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场地面积(㎡)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总遮阴面积(㎡)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遮阴率(%)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1302.8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34" w:name="评价结论"/>
      <w:bookmarkEnd w:id="34"/>
    </w:p>
    <w:sectPr>
      <w:headerReference r:id="rId3" w:type="default"/>
      <w:footerReference r:id="rId4" w:type="default"/>
      <w:footerReference r:id="rId5" w:type="even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2</w:t>
    </w:r>
    <w: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552615CE"/>
    <w:multiLevelType w:val="singleLevel"/>
    <w:tmpl w:val="552615C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F071AE"/>
    <w:rsid w:val="725B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iPriority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99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link w:val="2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uiPriority w:val="99"/>
    <w:rPr>
      <w:color w:val="0000FF"/>
      <w:u w:val="single"/>
    </w:rPr>
  </w:style>
  <w:style w:type="character" w:customStyle="1" w:styleId="23">
    <w:name w:val="页眉 Char"/>
    <w:basedOn w:val="20"/>
    <w:link w:val="15"/>
    <w:uiPriority w:val="0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bmp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住区遮阴率计算书2019.dotx</Template>
  <Company>ths</Company>
  <Pages>4</Pages>
  <Words>275</Words>
  <Characters>1570</Characters>
  <Lines>13</Lines>
  <Paragraphs>3</Paragraphs>
  <TotalTime>0</TotalTime>
  <ScaleCrop>false</ScaleCrop>
  <LinksUpToDate>false</LinksUpToDate>
  <CharactersWithSpaces>1842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2018-07-02T02:06:00Z</dcterms:created>
  <dc:creator>Jiangx</dc:creator>
  <cp:lastModifiedBy>333</cp:lastModifiedBy>
  <cp:lastPrinted>2411-12-31T16:00:00Z</cp:lastPrinted>
  <dcterms:modified xsi:type="dcterms:W3CDTF">2022-01-03T07:04:42Z</dcterms:modified>
  <dc:title>活动场地遮阴率计算书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80E5129685E64730AADAF22C6B47275B</vt:lpwstr>
  </property>
</Properties>
</file>