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视野分析计算书</w:t>
      </w:r>
    </w:p>
    <w:p>
      <w:pPr>
        <w:spacing w:before="312" w:beforeLines="100" w:line="180" w:lineRule="atLeast"/>
        <w:jc w:val="center"/>
        <w:rPr>
          <w:rFonts w:ascii="黑体" w:hAnsi="宋体" w:eastAsia="黑体"/>
          <w:b/>
          <w:bCs/>
          <w:sz w:val="72"/>
          <w:szCs w:val="72"/>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7"/>
              <w:tabs>
                <w:tab w:val="clear" w:pos="4153"/>
                <w:tab w:val="clear" w:pos="8306"/>
              </w:tabs>
              <w:snapToGrid/>
              <w:jc w:val="center"/>
              <w:rPr>
                <w:rFonts w:ascii="宋体" w:hAnsi="宋体"/>
                <w:sz w:val="21"/>
                <w:szCs w:val="21"/>
              </w:rPr>
            </w:pPr>
            <w:bookmarkStart w:id="0" w:name="工程名称"/>
            <w:r>
              <w:t>土建学院实训大楼</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r>
              <w:t>001</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r>
              <w:t>黎明职业大学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r>
              <w:t>黎明职业大学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2021年12月11日</w:t>
            </w:r>
            <w:bookmarkEnd w:id="6"/>
          </w:p>
        </w:tc>
      </w:tr>
    </w:tbl>
    <w:p>
      <w:pPr>
        <w:spacing w:line="240" w:lineRule="auto"/>
        <w:jc w:val="center"/>
        <w:rPr>
          <w:rFonts w:ascii="宋体" w:hAnsi="宋体"/>
          <w:b/>
          <w:bCs/>
          <w:sz w:val="28"/>
          <w:szCs w:val="28"/>
        </w:rPr>
      </w:pPr>
    </w:p>
    <w:p>
      <w:pPr>
        <w:spacing w:line="240" w:lineRule="auto"/>
        <w:jc w:val="center"/>
        <w:rPr>
          <w:rFonts w:ascii="宋体" w:hAnsi="宋体"/>
          <w:b/>
          <w:bCs/>
          <w:sz w:val="30"/>
          <w:szCs w:val="32"/>
        </w:rPr>
      </w:pPr>
      <w:bookmarkStart w:id="7" w:name="二维码"/>
      <w:bookmarkEnd w:id="7"/>
      <w:r>
        <w:drawing>
          <wp:inline distT="0" distB="0" distL="0" distR="0">
            <wp:extent cx="2171700" cy="2171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pPr>
              <w:pStyle w:val="17"/>
              <w:tabs>
                <w:tab w:val="clear" w:pos="4153"/>
                <w:tab w:val="clear" w:pos="8306"/>
              </w:tabs>
              <w:snapToGrid/>
              <w:jc w:val="center"/>
              <w:rPr>
                <w:rFonts w:ascii="宋体" w:hAnsi="宋体"/>
              </w:rPr>
            </w:pPr>
            <w:bookmarkStart w:id="8" w:name="采用软件"/>
            <w:r>
              <w:rPr>
                <w:rFonts w:hint="eastAsia" w:ascii="宋体" w:hAnsi="宋体"/>
              </w:rP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软件版本</w:t>
            </w:r>
          </w:p>
        </w:tc>
        <w:tc>
          <w:tcPr>
            <w:tcW w:w="3780" w:type="dxa"/>
          </w:tcPr>
          <w:p>
            <w:pPr>
              <w:jc w:val="center"/>
              <w:rPr>
                <w:rFonts w:ascii="宋体" w:hAnsi="宋体"/>
                <w:szCs w:val="18"/>
              </w:rPr>
            </w:pPr>
            <w:bookmarkStart w:id="9" w:name="软件版本"/>
            <w:r>
              <w:rPr>
                <w:rFonts w:ascii="宋体" w:hAnsi="宋体"/>
                <w:szCs w:val="18"/>
              </w:rP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研发单位</w:t>
            </w:r>
          </w:p>
        </w:tc>
        <w:tc>
          <w:tcPr>
            <w:tcW w:w="3780" w:type="dxa"/>
          </w:tcPr>
          <w:p>
            <w:pPr>
              <w:jc w:val="center"/>
              <w:rPr>
                <w:rFonts w:ascii="宋体" w:hAnsi="宋体"/>
                <w:szCs w:val="18"/>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正版授权码</w:t>
            </w:r>
          </w:p>
        </w:tc>
        <w:tc>
          <w:tcPr>
            <w:tcW w:w="3780" w:type="dxa"/>
          </w:tcPr>
          <w:p>
            <w:pPr>
              <w:jc w:val="center"/>
              <w:rPr>
                <w:rFonts w:ascii="宋体" w:hAnsi="宋体"/>
                <w:szCs w:val="18"/>
              </w:rPr>
            </w:pPr>
            <w:bookmarkStart w:id="10" w:name="正版授权码"/>
            <w:r>
              <w:t>T13015862687</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800" w:type="dxa"/>
            <w:tcBorders>
              <w:top w:val="single" w:color="auto" w:sz="6" w:space="0"/>
              <w:bottom w:val="single" w:color="auto" w:sz="12" w:space="0"/>
            </w:tcBorders>
            <w:shd w:val="clear" w:color="auto" w:fill="E6E6E6"/>
          </w:tcPr>
          <w:p>
            <w:pPr>
              <w:jc w:val="both"/>
              <w:rPr>
                <w:rFonts w:ascii="宋体" w:hAnsi="宋体"/>
                <w:szCs w:val="18"/>
              </w:rPr>
            </w:pPr>
            <w:r>
              <w:rPr>
                <w:rFonts w:hint="eastAsia" w:ascii="宋体" w:hAnsi="宋体"/>
                <w:szCs w:val="18"/>
              </w:rPr>
              <w:t>服务热线</w:t>
            </w:r>
          </w:p>
        </w:tc>
        <w:tc>
          <w:tcPr>
            <w:tcW w:w="3780" w:type="dxa"/>
          </w:tcPr>
          <w:p>
            <w:pPr>
              <w:jc w:val="center"/>
              <w:rPr>
                <w:rFonts w:ascii="宋体" w:hAnsi="宋体"/>
                <w:szCs w:val="18"/>
              </w:rPr>
            </w:pPr>
            <w:r>
              <w:rPr>
                <w:rFonts w:hint="eastAsia" w:ascii="宋体" w:hAnsi="宋体"/>
                <w:color w:val="000000"/>
                <w:szCs w:val="21"/>
                <w:shd w:val="clear" w:color="auto" w:fill="FFFFFF"/>
              </w:rPr>
              <w:t>400-094-1228</w:t>
            </w:r>
          </w:p>
        </w:tc>
      </w:tr>
    </w:tbl>
    <w:p>
      <w:pPr>
        <w:sectPr>
          <w:pgSz w:w="11906" w:h="16838"/>
          <w:pgMar w:top="1440" w:right="1418" w:bottom="1440" w:left="1418" w:header="851" w:footer="992" w:gutter="0"/>
          <w:cols w:space="425" w:num="1"/>
          <w:docGrid w:type="lines" w:linePitch="312" w:charSpace="0"/>
        </w:sectPr>
      </w:pPr>
    </w:p>
    <w:p>
      <w:pPr>
        <w:jc w:val="center"/>
        <w:rPr>
          <w:sz w:val="28"/>
          <w:szCs w:val="28"/>
        </w:rPr>
      </w:pPr>
      <w:bookmarkStart w:id="11" w:name="目录"/>
      <w:bookmarkStart w:id="52" w:name="_GoBack"/>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_Toc10855 </w:instrText>
      </w:r>
      <w:r>
        <w:rPr>
          <w:szCs w:val="28"/>
        </w:rPr>
        <w:fldChar w:fldCharType="separate"/>
      </w:r>
      <w:r>
        <w:rPr>
          <w:rFonts w:hint="eastAsia"/>
        </w:rPr>
        <w:t>1. 建筑概况</w:t>
      </w:r>
      <w:r>
        <w:tab/>
      </w:r>
      <w:r>
        <w:fldChar w:fldCharType="begin"/>
      </w:r>
      <w:r>
        <w:instrText xml:space="preserve"> PAGEREF _Toc10855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_Toc6556 </w:instrText>
      </w:r>
      <w:r>
        <w:rPr>
          <w:szCs w:val="28"/>
        </w:rPr>
        <w:fldChar w:fldCharType="separate"/>
      </w:r>
      <w:r>
        <w:rPr>
          <w:rFonts w:hint="eastAsia"/>
        </w:rPr>
        <w:t>2. 分析目的</w:t>
      </w:r>
      <w:r>
        <w:tab/>
      </w:r>
      <w:r>
        <w:fldChar w:fldCharType="begin"/>
      </w:r>
      <w:r>
        <w:instrText xml:space="preserve"> PAGEREF _Toc6556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_Toc30979 </w:instrText>
      </w:r>
      <w:r>
        <w:rPr>
          <w:szCs w:val="28"/>
        </w:rPr>
        <w:fldChar w:fldCharType="separate"/>
      </w:r>
      <w:r>
        <w:rPr>
          <w:rFonts w:hint="eastAsia"/>
        </w:rPr>
        <w:t>3. 分析依据</w:t>
      </w:r>
      <w:r>
        <w:tab/>
      </w:r>
      <w:r>
        <w:fldChar w:fldCharType="begin"/>
      </w:r>
      <w:r>
        <w:instrText xml:space="preserve"> PAGEREF _Toc30979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_Toc30952 </w:instrText>
      </w:r>
      <w:r>
        <w:rPr>
          <w:szCs w:val="28"/>
        </w:rPr>
        <w:fldChar w:fldCharType="separate"/>
      </w:r>
      <w:r>
        <w:rPr>
          <w:rFonts w:hint="eastAsia"/>
          <w:lang w:val="en-US"/>
        </w:rPr>
        <w:t xml:space="preserve">3.1 </w:t>
      </w:r>
      <w:r>
        <w:rPr>
          <w:rFonts w:hint="eastAsia"/>
        </w:rPr>
        <w:t>标准依据</w:t>
      </w:r>
      <w:r>
        <w:tab/>
      </w:r>
      <w:r>
        <w:fldChar w:fldCharType="begin"/>
      </w:r>
      <w:r>
        <w:instrText xml:space="preserve"> PAGEREF _Toc30952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_Toc28508 </w:instrText>
      </w:r>
      <w:r>
        <w:rPr>
          <w:szCs w:val="28"/>
        </w:rPr>
        <w:fldChar w:fldCharType="separate"/>
      </w:r>
      <w:r>
        <w:rPr>
          <w:rFonts w:hint="eastAsia"/>
          <w:lang w:val="en-US"/>
        </w:rPr>
        <w:t xml:space="preserve">3.2 </w:t>
      </w:r>
      <w:r>
        <w:rPr>
          <w:rFonts w:hint="eastAsia"/>
        </w:rPr>
        <w:t>标准要求</w:t>
      </w:r>
      <w:r>
        <w:tab/>
      </w:r>
      <w:r>
        <w:fldChar w:fldCharType="begin"/>
      </w:r>
      <w:r>
        <w:instrText xml:space="preserve"> PAGEREF _Toc28508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_Toc30790 </w:instrText>
      </w:r>
      <w:r>
        <w:rPr>
          <w:szCs w:val="28"/>
        </w:rPr>
        <w:fldChar w:fldCharType="separate"/>
      </w:r>
      <w:r>
        <w:rPr>
          <w:rFonts w:hint="eastAsia"/>
        </w:rPr>
        <w:t>4. 应用软件与计算方法</w:t>
      </w:r>
      <w:r>
        <w:tab/>
      </w:r>
      <w:r>
        <w:fldChar w:fldCharType="begin"/>
      </w:r>
      <w:r>
        <w:instrText xml:space="preserve"> PAGEREF _Toc30790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_Toc27819 </w:instrText>
      </w:r>
      <w:r>
        <w:rPr>
          <w:szCs w:val="28"/>
        </w:rPr>
        <w:fldChar w:fldCharType="separate"/>
      </w:r>
      <w:r>
        <w:rPr>
          <w:rFonts w:hint="eastAsia"/>
          <w:lang w:val="en-US"/>
        </w:rPr>
        <w:t xml:space="preserve">4.1 </w:t>
      </w:r>
      <w:r>
        <w:t>软件</w:t>
      </w:r>
      <w:r>
        <w:rPr>
          <w:rFonts w:hint="eastAsia"/>
        </w:rPr>
        <w:t>选用</w:t>
      </w:r>
      <w:r>
        <w:tab/>
      </w:r>
      <w:r>
        <w:fldChar w:fldCharType="begin"/>
      </w:r>
      <w:r>
        <w:instrText xml:space="preserve"> PAGEREF _Toc27819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_Toc9793 </w:instrText>
      </w:r>
      <w:r>
        <w:rPr>
          <w:szCs w:val="28"/>
        </w:rPr>
        <w:fldChar w:fldCharType="separate"/>
      </w:r>
      <w:r>
        <w:rPr>
          <w:rFonts w:hint="eastAsia"/>
          <w:lang w:val="en-US"/>
        </w:rPr>
        <w:t xml:space="preserve">4.2 </w:t>
      </w:r>
      <w:r>
        <w:rPr>
          <w:rFonts w:hint="eastAsia"/>
        </w:rPr>
        <w:t>计算原理</w:t>
      </w:r>
      <w:r>
        <w:tab/>
      </w:r>
      <w:r>
        <w:fldChar w:fldCharType="begin"/>
      </w:r>
      <w:r>
        <w:instrText xml:space="preserve"> PAGEREF _Toc9793 \h </w:instrText>
      </w:r>
      <w:r>
        <w:fldChar w:fldCharType="separate"/>
      </w:r>
      <w:r>
        <w:t>4</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_Toc10397 </w:instrText>
      </w:r>
      <w:r>
        <w:rPr>
          <w:szCs w:val="28"/>
        </w:rPr>
        <w:fldChar w:fldCharType="separate"/>
      </w:r>
      <w:r>
        <w:rPr>
          <w:rFonts w:hint="eastAsia"/>
        </w:rPr>
        <w:t>5. 计算参数选用</w:t>
      </w:r>
      <w:r>
        <w:tab/>
      </w:r>
      <w:r>
        <w:fldChar w:fldCharType="begin"/>
      </w:r>
      <w:r>
        <w:instrText xml:space="preserve"> PAGEREF _Toc10397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_Toc31200 </w:instrText>
      </w:r>
      <w:r>
        <w:rPr>
          <w:szCs w:val="28"/>
        </w:rPr>
        <w:fldChar w:fldCharType="separate"/>
      </w:r>
      <w:r>
        <w:rPr>
          <w:rFonts w:hint="eastAsia"/>
          <w:lang w:val="en-US"/>
        </w:rPr>
        <w:t xml:space="preserve">5.1 </w:t>
      </w:r>
      <w:r>
        <w:rPr>
          <w:rFonts w:hint="eastAsia"/>
        </w:rPr>
        <w:t>模拟条件</w:t>
      </w:r>
      <w:r>
        <w:tab/>
      </w:r>
      <w:r>
        <w:fldChar w:fldCharType="begin"/>
      </w:r>
      <w:r>
        <w:instrText xml:space="preserve"> PAGEREF _Toc31200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_Toc3073 </w:instrText>
      </w:r>
      <w:r>
        <w:rPr>
          <w:szCs w:val="28"/>
        </w:rPr>
        <w:fldChar w:fldCharType="separate"/>
      </w:r>
      <w:r>
        <w:rPr>
          <w:rFonts w:hint="eastAsia"/>
          <w:lang w:val="en-US"/>
        </w:rPr>
        <w:t xml:space="preserve">5.2 </w:t>
      </w:r>
      <w:r>
        <w:rPr>
          <w:rFonts w:hint="eastAsia"/>
        </w:rPr>
        <w:t>门窗类型参数</w:t>
      </w:r>
      <w:r>
        <w:tab/>
      </w:r>
      <w:r>
        <w:fldChar w:fldCharType="begin"/>
      </w:r>
      <w:r>
        <w:instrText xml:space="preserve"> PAGEREF _Toc3073 \h </w:instrText>
      </w:r>
      <w:r>
        <w:fldChar w:fldCharType="separate"/>
      </w:r>
      <w:r>
        <w:t>5</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_Toc22286 </w:instrText>
      </w:r>
      <w:r>
        <w:rPr>
          <w:szCs w:val="28"/>
        </w:rPr>
        <w:fldChar w:fldCharType="separate"/>
      </w:r>
      <w:r>
        <w:rPr>
          <w:rFonts w:hint="eastAsia" w:eastAsia="宋体"/>
          <w:szCs w:val="24"/>
          <w:lang w:val="en-GB"/>
        </w:rPr>
        <w:t xml:space="preserve">5.2.1 </w:t>
      </w:r>
      <w:r>
        <w:t>普通</w:t>
      </w:r>
      <w:r>
        <w:rPr>
          <w:rFonts w:hint="eastAsia"/>
        </w:rPr>
        <w:t>窗</w:t>
      </w:r>
      <w:r>
        <w:tab/>
      </w:r>
      <w:r>
        <w:fldChar w:fldCharType="begin"/>
      </w:r>
      <w:r>
        <w:instrText xml:space="preserve"> PAGEREF _Toc22286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_Toc30729 </w:instrText>
      </w:r>
      <w:r>
        <w:rPr>
          <w:szCs w:val="28"/>
        </w:rPr>
        <w:fldChar w:fldCharType="separate"/>
      </w:r>
      <w:r>
        <w:rPr>
          <w:rFonts w:hint="eastAsia"/>
        </w:rPr>
        <w:t>6. 分析统计结果</w:t>
      </w:r>
      <w:r>
        <w:tab/>
      </w:r>
      <w:r>
        <w:fldChar w:fldCharType="begin"/>
      </w:r>
      <w:r>
        <w:instrText xml:space="preserve"> PAGEREF _Toc30729 \h </w:instrText>
      </w:r>
      <w:r>
        <w:fldChar w:fldCharType="separate"/>
      </w:r>
      <w:r>
        <w:t>6</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_Toc15198 </w:instrText>
      </w:r>
      <w:r>
        <w:rPr>
          <w:szCs w:val="28"/>
        </w:rPr>
        <w:fldChar w:fldCharType="separate"/>
      </w:r>
      <w:r>
        <w:rPr>
          <w:rFonts w:hint="eastAsia"/>
        </w:rPr>
        <w:t>7. 视野分析彩图</w:t>
      </w:r>
      <w:r>
        <w:tab/>
      </w:r>
      <w:r>
        <w:fldChar w:fldCharType="begin"/>
      </w:r>
      <w:r>
        <w:instrText xml:space="preserve"> PAGEREF _Toc15198 \h </w:instrText>
      </w:r>
      <w:r>
        <w:fldChar w:fldCharType="separate"/>
      </w:r>
      <w:r>
        <w:t>9</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_Toc14463 </w:instrText>
      </w:r>
      <w:r>
        <w:rPr>
          <w:szCs w:val="28"/>
        </w:rPr>
        <w:fldChar w:fldCharType="separate"/>
      </w:r>
      <w:r>
        <w:rPr>
          <w:rFonts w:hint="eastAsia"/>
        </w:rPr>
        <w:t>8. 评价结论</w:t>
      </w:r>
      <w:r>
        <w:tab/>
      </w:r>
      <w:r>
        <w:fldChar w:fldCharType="begin"/>
      </w:r>
      <w:r>
        <w:instrText xml:space="preserve"> PAGEREF _Toc14463 \h </w:instrText>
      </w:r>
      <w:r>
        <w:fldChar w:fldCharType="separate"/>
      </w:r>
      <w:r>
        <w:t>12</w:t>
      </w:r>
      <w:r>
        <w:fldChar w:fldCharType="end"/>
      </w:r>
      <w:r>
        <w:rPr>
          <w:szCs w:val="28"/>
        </w:rPr>
        <w:fldChar w:fldCharType="end"/>
      </w:r>
    </w:p>
    <w:p>
      <w:pPr>
        <w:rPr>
          <w:sz w:val="28"/>
          <w:szCs w:val="28"/>
        </w:rPr>
        <w:sectPr>
          <w:pgSz w:w="11906" w:h="16838"/>
          <w:pgMar w:top="1440" w:right="1418" w:bottom="1440" w:left="1418" w:header="851" w:footer="992" w:gutter="0"/>
          <w:cols w:space="425" w:num="1"/>
          <w:docGrid w:type="lines" w:linePitch="312" w:charSpace="0"/>
        </w:sectPr>
      </w:pPr>
      <w:r>
        <w:rPr>
          <w:szCs w:val="28"/>
        </w:rPr>
        <w:fldChar w:fldCharType="end"/>
      </w:r>
      <w:bookmarkEnd w:id="52"/>
      <w:bookmarkEnd w:id="11"/>
    </w:p>
    <w:p>
      <w:pPr>
        <w:pStyle w:val="2"/>
        <w:ind w:left="432" w:hanging="432"/>
      </w:pPr>
      <w:bookmarkStart w:id="12" w:name="_Toc10855"/>
      <w:r>
        <w:rPr>
          <w:rFonts w:hint="eastAsia"/>
        </w:rPr>
        <w:t>建筑概况</w:t>
      </w:r>
      <w:bookmarkEnd w:id="12"/>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700" w:type="dxa"/>
          </w:tcPr>
          <w:p>
            <w:pPr>
              <w:pStyle w:val="3"/>
              <w:ind w:firstLine="0" w:firstLineChars="0"/>
              <w:jc w:val="center"/>
              <w:rPr>
                <w:rFonts w:ascii="宋体" w:hAnsi="宋体"/>
                <w:sz w:val="18"/>
                <w:szCs w:val="18"/>
                <w:lang w:val="en-US"/>
              </w:rPr>
            </w:pPr>
            <w:bookmarkStart w:id="13" w:name="光气候分区"/>
            <w:r>
              <w:rPr>
                <w:rFonts w:ascii="宋体" w:hAnsi="宋体"/>
                <w:sz w:val="18"/>
                <w:szCs w:val="18"/>
                <w:lang w:val="en-US"/>
              </w:rPr>
              <w:t>IV</w:t>
            </w:r>
            <w:bookmarkEnd w:id="13"/>
          </w:p>
        </w:tc>
        <w:tc>
          <w:tcPr>
            <w:tcW w:w="1800"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124" w:type="dxa"/>
          </w:tcPr>
          <w:p>
            <w:pPr>
              <w:pStyle w:val="3"/>
              <w:ind w:firstLine="0" w:firstLineChars="0"/>
              <w:jc w:val="center"/>
              <w:rPr>
                <w:rFonts w:ascii="宋体" w:hAnsi="宋体"/>
                <w:sz w:val="18"/>
                <w:szCs w:val="18"/>
                <w:lang w:val="en-US"/>
              </w:rPr>
            </w:pPr>
            <w:bookmarkStart w:id="14" w:name="光气候系数K"/>
            <w:r>
              <w:rPr>
                <w:rFonts w:ascii="宋体" w:hAnsi="宋体"/>
                <w:sz w:val="18"/>
                <w:szCs w:val="18"/>
                <w:lang w:val="en-US"/>
              </w:rPr>
              <w:t>1.10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624"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5" w:name="地上建筑面积"/>
            <w:r>
              <w:rPr>
                <w:rFonts w:hint="eastAsia" w:ascii="宋体" w:hAnsi="宋体"/>
                <w:szCs w:val="18"/>
                <w:lang w:val="en-US"/>
              </w:rPr>
              <w:t>12339.12</w:t>
            </w:r>
            <w:bookmarkEnd w:id="15"/>
            <w:r>
              <w:rPr>
                <w:rFonts w:hint="eastAsia" w:ascii="宋体" w:hAnsi="宋体"/>
                <w:sz w:val="18"/>
                <w:szCs w:val="18"/>
                <w:lang w:val="en-US"/>
              </w:rPr>
              <w:t xml:space="preserve"> </w:t>
            </w:r>
            <w:r>
              <w:rPr>
                <w:rFonts w:hint="eastAsia" w:ascii="宋体" w:hAnsi="宋体"/>
                <w:sz w:val="18"/>
                <w:szCs w:val="18"/>
              </w:rPr>
              <w:t>㎡</w:t>
            </w:r>
            <w:r>
              <w:rPr>
                <w:rFonts w:hint="eastAsia" w:ascii="宋体" w:hAnsi="宋体"/>
                <w:sz w:val="18"/>
                <w:szCs w:val="18"/>
                <w:lang w:val="en-US"/>
              </w:rPr>
              <w:t xml:space="preserve">    地下 </w:t>
            </w:r>
            <w:r>
              <w:rPr>
                <w:rFonts w:hint="eastAsia" w:ascii="宋体" w:hAnsi="宋体"/>
                <w:szCs w:val="18"/>
                <w:lang w:val="en-US"/>
              </w:rPr>
              <w:t xml:space="preserve"> </w:t>
            </w:r>
            <w:bookmarkStart w:id="16" w:name="地下建筑面积"/>
            <w:r>
              <w:rPr>
                <w:rFonts w:hint="eastAsia" w:ascii="宋体" w:hAnsi="宋体"/>
                <w:szCs w:val="18"/>
                <w:lang w:val="en-US"/>
              </w:rPr>
              <w:t>0.00</w:t>
            </w:r>
            <w:bookmarkEnd w:id="16"/>
            <w:r>
              <w:rPr>
                <w:rFonts w:hint="eastAsia" w:ascii="宋体" w:hAnsi="宋体"/>
                <w:sz w:val="18"/>
                <w:szCs w:val="18"/>
                <w:lang w:val="en-US"/>
              </w:rPr>
              <w:t xml:space="preserve"> </w:t>
            </w: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624"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层数"/>
            <w:r>
              <w:rPr>
                <w:rFonts w:hint="eastAsia" w:ascii="宋体" w:hAnsi="宋体"/>
                <w:szCs w:val="18"/>
                <w:lang w:val="en-US"/>
              </w:rPr>
              <w:t>7</w:t>
            </w:r>
            <w:bookmarkEnd w:id="17"/>
            <w:r>
              <w:rPr>
                <w:rFonts w:hint="eastAsia" w:ascii="宋体" w:hAnsi="宋体"/>
                <w:sz w:val="18"/>
                <w:szCs w:val="18"/>
                <w:lang w:val="en-US"/>
              </w:rPr>
              <w:t xml:space="preserve"> 层            地下  </w:t>
            </w:r>
            <w:bookmarkStart w:id="18" w:name="地下建筑层数"/>
            <w:r>
              <w:rPr>
                <w:rFonts w:hint="eastAsia" w:ascii="宋体" w:hAnsi="宋体"/>
                <w:sz w:val="18"/>
                <w:szCs w:val="18"/>
                <w:lang w:val="en-US"/>
              </w:rPr>
              <w:t>0</w:t>
            </w:r>
            <w:bookmarkEnd w:id="18"/>
            <w:r>
              <w:rPr>
                <w:rFonts w:hint="eastAsia" w:ascii="宋体" w:hAnsi="宋体"/>
                <w:sz w:val="18"/>
                <w:szCs w:val="18"/>
                <w:lang w:val="en-US"/>
              </w:rPr>
              <w:t xml:space="preserve"> 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624"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r>
              <w:rPr>
                <w:rFonts w:hint="eastAsia" w:ascii="宋体" w:hAnsi="宋体"/>
                <w:szCs w:val="18"/>
                <w:lang w:val="en-US"/>
              </w:rPr>
              <w:t xml:space="preserve"> </w:t>
            </w:r>
            <w:bookmarkStart w:id="19" w:name="地上建筑高度"/>
            <w:r>
              <w:rPr>
                <w:rFonts w:hint="eastAsia" w:ascii="宋体" w:hAnsi="宋体"/>
                <w:szCs w:val="18"/>
                <w:lang w:val="en-US"/>
              </w:rPr>
              <w:t>27.30</w:t>
            </w:r>
            <w:bookmarkEnd w:id="19"/>
            <w:r>
              <w:rPr>
                <w:rFonts w:hint="eastAsia" w:ascii="宋体" w:hAnsi="宋体"/>
                <w:sz w:val="18"/>
                <w:szCs w:val="18"/>
                <w:lang w:val="en-US"/>
              </w:rPr>
              <w:t xml:space="preserve"> m       地下  </w:t>
            </w:r>
            <w:bookmarkStart w:id="20" w:name="地下建筑高度"/>
            <w:r>
              <w:rPr>
                <w:rFonts w:hint="eastAsia" w:ascii="宋体" w:hAnsi="宋体"/>
                <w:szCs w:val="18"/>
                <w:lang w:val="en-US"/>
              </w:rPr>
              <w:t>0.00</w:t>
            </w:r>
            <w:bookmarkEnd w:id="20"/>
            <w:r>
              <w:rPr>
                <w:rFonts w:hint="eastAsia" w:ascii="宋体" w:hAnsi="宋体"/>
                <w:sz w:val="18"/>
                <w:szCs w:val="18"/>
                <w:lang w:val="en-US"/>
              </w:rPr>
              <w:t xml:space="preserve"> 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624" w:type="dxa"/>
            <w:gridSpan w:val="3"/>
          </w:tcPr>
          <w:p>
            <w:pPr>
              <w:pStyle w:val="3"/>
              <w:ind w:firstLine="0" w:firstLineChars="0"/>
              <w:jc w:val="center"/>
              <w:rPr>
                <w:rFonts w:ascii="宋体" w:hAnsi="宋体"/>
                <w:sz w:val="18"/>
                <w:szCs w:val="18"/>
                <w:lang w:val="en-US"/>
              </w:rPr>
            </w:pPr>
          </w:p>
        </w:tc>
      </w:tr>
    </w:tbl>
    <w:p>
      <w:pPr>
        <w:pStyle w:val="3"/>
        <w:ind w:firstLine="0" w:firstLineChars="0"/>
        <w:jc w:val="center"/>
        <w:rPr>
          <w:lang w:val="en-US"/>
        </w:rPr>
      </w:pPr>
    </w:p>
    <w:p>
      <w:pPr>
        <w:pStyle w:val="3"/>
        <w:ind w:firstLine="0" w:firstLineChars="0"/>
        <w:jc w:val="center"/>
        <w:rPr>
          <w:lang w:val="en-US"/>
        </w:rPr>
      </w:pPr>
    </w:p>
    <w:p>
      <w:pPr>
        <w:pStyle w:val="2"/>
        <w:ind w:left="432" w:hanging="432"/>
      </w:pPr>
      <w:bookmarkStart w:id="21" w:name="_Toc6556"/>
      <w:r>
        <w:rPr>
          <w:rFonts w:hint="eastAsia"/>
        </w:rPr>
        <w:t>分析目的</w:t>
      </w:r>
      <w:bookmarkEnd w:id="21"/>
    </w:p>
    <w:p>
      <w:pPr>
        <w:pStyle w:val="14"/>
        <w:spacing w:line="360" w:lineRule="auto"/>
        <w:ind w:firstLine="420"/>
        <w:rPr>
          <w:sz w:val="21"/>
          <w:szCs w:val="21"/>
        </w:rPr>
      </w:pPr>
      <w:r>
        <w:rPr>
          <w:rFonts w:hint="eastAsia"/>
          <w:sz w:val="21"/>
          <w:szCs w:val="21"/>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2" w:name="_Toc30979"/>
      <w:r>
        <w:rPr>
          <w:rFonts w:hint="eastAsia"/>
        </w:rPr>
        <w:t>分析依据</w:t>
      </w:r>
      <w:bookmarkEnd w:id="22"/>
    </w:p>
    <w:p>
      <w:pPr>
        <w:pStyle w:val="4"/>
      </w:pPr>
      <w:bookmarkStart w:id="23" w:name="_Toc30952"/>
      <w:r>
        <w:rPr>
          <w:rFonts w:hint="eastAsia"/>
        </w:rPr>
        <w:t>标准依据</w:t>
      </w:r>
      <w:bookmarkEnd w:id="23"/>
    </w:p>
    <w:p>
      <w:pPr>
        <w:pStyle w:val="3"/>
        <w:numPr>
          <w:ilvl w:val="0"/>
          <w:numId w:val="2"/>
        </w:numPr>
        <w:ind w:firstLineChars="0"/>
        <w:rPr>
          <w:lang w:val="en-US"/>
        </w:rPr>
      </w:pPr>
      <w:r>
        <w:rPr>
          <w:lang w:val="en-US"/>
        </w:rPr>
        <w:t>《绿色建筑评价标准》GB/T 50378-2019</w:t>
      </w:r>
    </w:p>
    <w:p>
      <w:pPr>
        <w:pStyle w:val="3"/>
        <w:numPr>
          <w:ilvl w:val="0"/>
          <w:numId w:val="2"/>
        </w:numPr>
        <w:ind w:firstLineChars="0"/>
        <w:rPr>
          <w:lang w:val="en-US"/>
        </w:rPr>
      </w:pPr>
      <w:r>
        <w:rPr>
          <w:lang w:val="en-US"/>
        </w:rPr>
        <w:t>《建筑采光设计标准》GB 5003-2013</w:t>
      </w:r>
    </w:p>
    <w:p>
      <w:pPr>
        <w:pStyle w:val="3"/>
        <w:numPr>
          <w:ilvl w:val="0"/>
          <w:numId w:val="2"/>
        </w:numPr>
        <w:ind w:firstLineChars="0"/>
        <w:rPr>
          <w:rFonts w:ascii="宋体" w:hAnsi="宋体"/>
          <w:lang w:val="en-US"/>
        </w:rPr>
      </w:pPr>
      <w:r>
        <w:rPr>
          <w:rFonts w:ascii="宋体" w:hAnsi="宋体"/>
          <w:lang w:val="en-US"/>
        </w:rPr>
        <w:t>委托方提供的项</w:t>
      </w:r>
      <w:r>
        <w:rPr>
          <w:rFonts w:hint="eastAsia" w:ascii="宋体" w:hAnsi="宋体"/>
          <w:lang w:val="en-US"/>
        </w:rPr>
        <w:t>目</w:t>
      </w:r>
      <w:r>
        <w:rPr>
          <w:rFonts w:ascii="宋体" w:hAnsi="宋体"/>
          <w:lang w:val="en-US"/>
        </w:rPr>
        <w:t>总平面图、建筑设计图纸、设计效果图等图纸资料</w:t>
      </w:r>
    </w:p>
    <w:p>
      <w:pPr>
        <w:pStyle w:val="3"/>
        <w:numPr>
          <w:ilvl w:val="0"/>
          <w:numId w:val="2"/>
        </w:numPr>
        <w:ind w:firstLineChars="0"/>
        <w:rPr>
          <w:rFonts w:ascii="宋体" w:hAnsi="宋体"/>
          <w:lang w:val="en-US"/>
        </w:rPr>
      </w:pPr>
      <w:r>
        <w:rPr>
          <w:rFonts w:ascii="宋体" w:hAnsi="宋体"/>
          <w:lang w:val="en-US"/>
        </w:rPr>
        <w:t>委托方提供的其它相关资料</w:t>
      </w:r>
      <w:r>
        <w:rPr>
          <w:rFonts w:hint="eastAsia" w:ascii="宋体" w:hAnsi="宋体"/>
          <w:lang w:val="en-US"/>
        </w:rPr>
        <w:t xml:space="preserve"> </w:t>
      </w:r>
    </w:p>
    <w:p>
      <w:pPr>
        <w:pStyle w:val="4"/>
      </w:pPr>
      <w:bookmarkStart w:id="24" w:name="_Toc28508"/>
      <w:r>
        <w:rPr>
          <w:rFonts w:hint="eastAsia"/>
        </w:rPr>
        <w:t>标准要求</w:t>
      </w:r>
      <w:bookmarkEnd w:id="24"/>
    </w:p>
    <w:p>
      <w:pPr>
        <w:pStyle w:val="3"/>
        <w:spacing w:line="360" w:lineRule="auto"/>
        <w:ind w:firstLine="420"/>
      </w:pPr>
      <w:r>
        <w:rPr>
          <w:rFonts w:hint="eastAsia" w:ascii="宋体" w:hAnsi="宋体"/>
          <w:lang w:val="en-US"/>
        </w:rPr>
        <w:t xml:space="preserve">■ </w:t>
      </w:r>
      <w:r>
        <w:rPr>
          <w:rFonts w:hint="eastAsia" w:ascii="宋体" w:hAnsi="宋体"/>
          <w:b/>
          <w:lang w:val="en-US"/>
        </w:rPr>
        <w:t>《绿色建筑评价标准》</w:t>
      </w:r>
      <w:r>
        <w:rPr>
          <w:b/>
          <w:lang w:val="en-US"/>
        </w:rPr>
        <w:t>GB/T 50378-2014</w:t>
      </w:r>
      <w:r>
        <w:rPr>
          <w:rFonts w:hint="eastAsia" w:ascii="宋体" w:hAnsi="宋体"/>
          <w:lang w:val="en-US"/>
        </w:rPr>
        <w:t>中规定：</w:t>
      </w:r>
    </w:p>
    <w:p>
      <w:pPr>
        <w:pStyle w:val="3"/>
        <w:spacing w:line="360" w:lineRule="auto"/>
        <w:ind w:left="360" w:leftChars="200" w:firstLine="0" w:firstLineChars="0"/>
        <w:rPr>
          <w:rFonts w:eastAsia="黑体"/>
          <w:kern w:val="2"/>
          <w:lang w:val="en-US"/>
        </w:rPr>
      </w:pPr>
      <w:r>
        <w:rPr>
          <w:rFonts w:eastAsia="黑体"/>
          <w:kern w:val="2"/>
          <w:lang w:val="en-US"/>
        </w:rPr>
        <w:t>8 . 2 . 5 建筑主要功能房间具有良好的户外视野</w:t>
      </w:r>
      <w:r>
        <w:rPr>
          <w:rFonts w:hint="eastAsia" w:eastAsia="黑体"/>
          <w:kern w:val="2"/>
          <w:lang w:val="en-US"/>
        </w:rPr>
        <w:t>，</w:t>
      </w:r>
      <w:r>
        <w:rPr>
          <w:rFonts w:eastAsia="黑体"/>
          <w:kern w:val="2"/>
          <w:lang w:val="en-US"/>
        </w:rPr>
        <w:t>评价分值为3分。对居住建筑，其与相邻建筑的直接间距超</w:t>
      </w:r>
      <w:r>
        <w:rPr>
          <w:rFonts w:hint="eastAsia" w:eastAsia="黑体"/>
          <w:kern w:val="2"/>
          <w:lang w:val="en-US"/>
        </w:rPr>
        <w:t>过18</w:t>
      </w:r>
      <w:r>
        <w:rPr>
          <w:rFonts w:eastAsia="黑体"/>
          <w:kern w:val="2"/>
          <w:lang w:val="en-US"/>
        </w:rPr>
        <w:t>m</w:t>
      </w:r>
      <w:r>
        <w:rPr>
          <w:rFonts w:hint="eastAsia" w:eastAsia="黑体"/>
          <w:kern w:val="2"/>
          <w:lang w:val="en-US"/>
        </w:rPr>
        <w:t>；</w:t>
      </w:r>
      <w:r>
        <w:rPr>
          <w:rFonts w:eastAsia="黑体"/>
          <w:kern w:val="2"/>
          <w:lang w:val="en-US"/>
        </w:rPr>
        <w:t>对公共建筑，其主要功能房间能通过外窗看到室外自然景观，无明显视线干扰。</w:t>
      </w:r>
    </w:p>
    <w:p>
      <w:pPr>
        <w:pStyle w:val="2"/>
        <w:ind w:left="432" w:hanging="432"/>
      </w:pPr>
      <w:bookmarkStart w:id="25" w:name="_Toc30790"/>
      <w:r>
        <w:rPr>
          <w:rFonts w:hint="eastAsia"/>
        </w:rPr>
        <w:t>应用软件与计算方法</w:t>
      </w:r>
      <w:bookmarkEnd w:id="25"/>
    </w:p>
    <w:p>
      <w:pPr>
        <w:pStyle w:val="4"/>
      </w:pPr>
      <w:bookmarkStart w:id="26" w:name="_Toc27819"/>
      <w:r>
        <w:t>软件</w:t>
      </w:r>
      <w:r>
        <w:rPr>
          <w:rFonts w:hint="eastAsia"/>
        </w:rPr>
        <w:t>选用</w:t>
      </w:r>
      <w:bookmarkEnd w:id="26"/>
    </w:p>
    <w:p>
      <w:pPr>
        <w:pStyle w:val="14"/>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本报告采用绿建斯维尔采光分析软件DALI</w:t>
      </w:r>
      <w:r>
        <w:rPr>
          <w:rFonts w:hint="eastAsia"/>
          <w:sz w:val="21"/>
          <w:szCs w:val="21"/>
        </w:rPr>
        <w:t>作为分析工具。</w:t>
      </w:r>
      <w:r>
        <w:rPr>
          <w:rFonts w:ascii="Times New Roman" w:hAnsi="Times New Roman"/>
          <w:sz w:val="21"/>
          <w:szCs w:val="21"/>
        </w:rPr>
        <w:t>DALI是国内首款与国标《建筑采光设计标准》GB50033配套的软件，支持《绿色建筑评价标准》GB/T50378的采光指标要求</w:t>
      </w:r>
      <w:r>
        <w:rPr>
          <w:rFonts w:hint="eastAsia" w:ascii="Times New Roman" w:hAnsi="Times New Roman"/>
          <w:sz w:val="21"/>
          <w:szCs w:val="21"/>
        </w:rPr>
        <w:t>。软件</w:t>
      </w:r>
      <w:r>
        <w:rPr>
          <w:rFonts w:ascii="Times New Roman" w:hAnsi="Times New Roman"/>
          <w:sz w:val="21"/>
          <w:szCs w:val="21"/>
        </w:rPr>
        <w:t>以Radiance为计算核心，将计算结果返回到DALI进行处理分析。DALI可对</w:t>
      </w:r>
      <w:r>
        <w:rPr>
          <w:rFonts w:ascii="Times New Roman" w:hAnsi="Times New Roman"/>
          <w:b/>
          <w:sz w:val="21"/>
          <w:szCs w:val="21"/>
        </w:rPr>
        <w:t>视野率</w:t>
      </w:r>
      <w:r>
        <w:rPr>
          <w:rFonts w:ascii="Times New Roman" w:hAnsi="Times New Roman"/>
          <w:sz w:val="21"/>
          <w:szCs w:val="21"/>
        </w:rPr>
        <w:t>、达标率、地下采光、内区采光、眩光指数等进行快速分析，并根据需求生成</w:t>
      </w:r>
      <w:r>
        <w:rPr>
          <w:rFonts w:hint="eastAsia" w:ascii="Times New Roman" w:hAnsi="Times New Roman"/>
          <w:sz w:val="21"/>
          <w:szCs w:val="21"/>
        </w:rPr>
        <w:t>《</w:t>
      </w:r>
      <w:r>
        <w:rPr>
          <w:rFonts w:ascii="Times New Roman" w:hAnsi="Times New Roman"/>
          <w:sz w:val="21"/>
          <w:szCs w:val="21"/>
        </w:rPr>
        <w:t>视野</w:t>
      </w:r>
      <w:r>
        <w:rPr>
          <w:rFonts w:hint="eastAsia" w:ascii="Times New Roman" w:hAnsi="Times New Roman"/>
          <w:sz w:val="21"/>
          <w:szCs w:val="21"/>
        </w:rPr>
        <w:t>分析</w:t>
      </w:r>
      <w:r>
        <w:rPr>
          <w:rFonts w:ascii="Times New Roman" w:hAnsi="Times New Roman"/>
          <w:sz w:val="21"/>
          <w:szCs w:val="21"/>
        </w:rPr>
        <w:t>计算书</w:t>
      </w:r>
      <w:r>
        <w:rPr>
          <w:rFonts w:hint="eastAsia" w:ascii="Times New Roman" w:hAnsi="Times New Roman"/>
          <w:sz w:val="21"/>
          <w:szCs w:val="21"/>
        </w:rPr>
        <w:t>》等</w:t>
      </w:r>
      <w:r>
        <w:rPr>
          <w:rFonts w:ascii="Times New Roman" w:hAnsi="Times New Roman"/>
          <w:sz w:val="21"/>
          <w:szCs w:val="21"/>
        </w:rPr>
        <w:t>采光相关计算书。</w:t>
      </w:r>
    </w:p>
    <w:p>
      <w:pPr>
        <w:pStyle w:val="14"/>
        <w:spacing w:line="360" w:lineRule="auto"/>
        <w:ind w:firstLine="422"/>
        <w:rPr>
          <w:rFonts w:ascii="Times New Roman" w:hAnsi="Times New Roman"/>
          <w:b/>
          <w:sz w:val="21"/>
          <w:szCs w:val="21"/>
        </w:rPr>
      </w:pPr>
      <w:r>
        <w:rPr>
          <w:rFonts w:ascii="Times New Roman" w:hAnsi="Times New Roman"/>
          <w:b/>
          <w:sz w:val="21"/>
          <w:szCs w:val="21"/>
        </w:rP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ascii="Times New Roman" w:hAnsi="Times New Roman"/>
          <w:sz w:val="21"/>
          <w:szCs w:val="21"/>
        </w:rPr>
        <w:t>。</w:t>
      </w:r>
    </w:p>
    <w:p>
      <w:pPr>
        <w:pStyle w:val="4"/>
      </w:pPr>
      <w:bookmarkStart w:id="27" w:name="_Toc9793"/>
      <w:r>
        <w:rPr>
          <w:rFonts w:hint="eastAsia"/>
        </w:rPr>
        <w:t>计算原理</w:t>
      </w:r>
      <w:bookmarkEnd w:id="27"/>
    </w:p>
    <w:p>
      <w:pPr>
        <w:pStyle w:val="14"/>
        <w:spacing w:line="360" w:lineRule="auto"/>
        <w:ind w:firstLine="422"/>
        <w:rPr>
          <w:b/>
          <w:sz w:val="21"/>
          <w:szCs w:val="21"/>
        </w:rPr>
      </w:pPr>
      <w:r>
        <w:rPr>
          <w:rFonts w:hint="eastAsia"/>
          <w:b/>
          <w:sz w:val="21"/>
          <w:szCs w:val="21"/>
        </w:rPr>
        <w:t xml:space="preserve">■ 视野率 </w:t>
      </w:r>
    </w:p>
    <w:p>
      <w:pPr>
        <w:pStyle w:val="14"/>
        <w:spacing w:line="360" w:lineRule="auto"/>
        <w:ind w:firstLine="420"/>
        <w:rPr>
          <w:b/>
          <w:sz w:val="21"/>
          <w:szCs w:val="21"/>
        </w:rPr>
      </w:pPr>
      <w:r>
        <w:rPr>
          <w:rFonts w:hint="eastAsia"/>
          <w:sz w:val="21"/>
          <w:szCs w:val="21"/>
        </w:rPr>
        <w:t>在室内参考平面上的一点，可看到的天空半球的面积比例。</w:t>
      </w:r>
    </w:p>
    <w:p>
      <w:pPr>
        <w:pStyle w:val="14"/>
        <w:spacing w:line="360" w:lineRule="auto"/>
        <w:ind w:firstLine="422"/>
        <w:rPr>
          <w:b/>
          <w:sz w:val="21"/>
          <w:szCs w:val="21"/>
        </w:rPr>
      </w:pPr>
      <w:r>
        <w:rPr>
          <w:rFonts w:hint="eastAsia"/>
          <w:b/>
          <w:sz w:val="21"/>
          <w:szCs w:val="21"/>
        </w:rPr>
        <w:t>■ 评价方法</w:t>
      </w:r>
    </w:p>
    <w:p>
      <w:pPr>
        <w:pStyle w:val="14"/>
        <w:spacing w:line="360" w:lineRule="auto"/>
        <w:ind w:firstLine="420"/>
        <w:rPr>
          <w:rFonts w:ascii="Times New Roman" w:hAnsi="Times New Roman"/>
          <w:sz w:val="21"/>
          <w:szCs w:val="21"/>
        </w:rPr>
      </w:pPr>
      <w:r>
        <w:rPr>
          <w:rFonts w:ascii="Times New Roman" w:hAnsi="Times New Roman"/>
          <w:sz w:val="21"/>
          <w:szCs w:val="21"/>
        </w:rPr>
        <w:t>通过计算主要功能房间视野率大于0的面积比例是否达到</w:t>
      </w:r>
      <w:bookmarkStart w:id="28" w:name="良好视野要求"/>
      <w:r>
        <w:rPr>
          <w:rFonts w:ascii="Times New Roman" w:hAnsi="Times New Roman"/>
          <w:sz w:val="21"/>
          <w:szCs w:val="21"/>
          <w:u w:val="single"/>
        </w:rPr>
        <w:t>70</w:t>
      </w:r>
      <w:bookmarkEnd w:id="28"/>
      <w:r>
        <w:rPr>
          <w:rFonts w:ascii="Times New Roman" w:hAnsi="Times New Roman"/>
          <w:sz w:val="21"/>
          <w:szCs w:val="21"/>
          <w:u w:val="single"/>
        </w:rPr>
        <w:t>%</w:t>
      </w:r>
      <w:r>
        <w:rPr>
          <w:rFonts w:ascii="Times New Roman" w:hAnsi="Times New Roman"/>
          <w:sz w:val="21"/>
          <w:szCs w:val="21"/>
        </w:rPr>
        <w:t>，作为判断是否具有良好的视野。</w:t>
      </w:r>
    </w:p>
    <w:p>
      <w:pPr>
        <w:pStyle w:val="2"/>
        <w:ind w:left="432" w:hanging="432"/>
      </w:pPr>
      <w:bookmarkStart w:id="29" w:name="_Toc10397"/>
      <w:r>
        <w:rPr>
          <w:rFonts w:hint="eastAsia"/>
        </w:rPr>
        <w:t>计算参数选用</w:t>
      </w:r>
      <w:bookmarkEnd w:id="29"/>
    </w:p>
    <w:p>
      <w:pPr>
        <w:pStyle w:val="4"/>
      </w:pPr>
      <w:bookmarkStart w:id="30" w:name="_Toc31200"/>
      <w:r>
        <w:rPr>
          <w:rFonts w:hint="eastAsia"/>
        </w:rPr>
        <w:t>模拟条件</w:t>
      </w:r>
      <w:bookmarkEnd w:id="30"/>
    </w:p>
    <w:p>
      <w:pPr>
        <w:pStyle w:val="14"/>
        <w:spacing w:line="420" w:lineRule="auto"/>
        <w:ind w:firstLine="422"/>
        <w:rPr>
          <w:sz w:val="21"/>
          <w:szCs w:val="21"/>
        </w:rPr>
      </w:pPr>
      <w:r>
        <w:rPr>
          <w:rFonts w:hint="eastAsia"/>
          <w:b/>
          <w:sz w:val="21"/>
          <w:szCs w:val="21"/>
        </w:rPr>
        <w:t>分析参考平面：</w:t>
      </w:r>
      <w:bookmarkStart w:id="31" w:name="视野分析面高"/>
      <w:r>
        <w:rPr>
          <w:rFonts w:hint="eastAsia"/>
          <w:sz w:val="21"/>
          <w:szCs w:val="21"/>
        </w:rPr>
        <w:t>1.50</w:t>
      </w:r>
      <w:bookmarkEnd w:id="31"/>
      <w:r>
        <w:rPr>
          <w:rFonts w:ascii="Times New Roman" w:hAnsi="Times New Roman"/>
          <w:sz w:val="21"/>
          <w:szCs w:val="21"/>
        </w:rPr>
        <w:t>m</w:t>
      </w:r>
    </w:p>
    <w:p>
      <w:pPr>
        <w:pStyle w:val="14"/>
        <w:spacing w:line="360" w:lineRule="auto"/>
        <w:ind w:firstLine="422"/>
        <w:rPr>
          <w:sz w:val="21"/>
          <w:szCs w:val="21"/>
        </w:rPr>
      </w:pPr>
      <w:r>
        <w:rPr>
          <w:rFonts w:hint="eastAsia"/>
          <w:b/>
          <w:sz w:val="21"/>
          <w:szCs w:val="21"/>
        </w:rPr>
        <w:t>分析计算网格划分的间距</w:t>
      </w:r>
      <w:r>
        <w:rPr>
          <w:rFonts w:hint="eastAsia"/>
          <w:sz w:val="21"/>
          <w:szCs w:val="21"/>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szCs w:val="18"/>
              </w:rPr>
              <w:t>房间面积(m</w:t>
            </w:r>
            <w:r>
              <w:rPr>
                <w:szCs w:val="18"/>
                <w:vertAlign w:val="superscript"/>
              </w:rPr>
              <w:t>2</w:t>
            </w:r>
            <w:r>
              <w:rPr>
                <w:szCs w:val="18"/>
              </w:rPr>
              <w:t>)</w:t>
            </w:r>
          </w:p>
        </w:tc>
        <w:tc>
          <w:tcPr>
            <w:tcW w:w="3272" w:type="dxa"/>
            <w:shd w:val="clear" w:color="auto" w:fill="E6E6E6"/>
            <w:vAlign w:val="center"/>
          </w:tcPr>
          <w:p>
            <w:pPr>
              <w:jc w:val="center"/>
              <w:rPr>
                <w:szCs w:val="18"/>
              </w:rPr>
            </w:pPr>
            <w:r>
              <w:rPr>
                <w:szCs w:val="18"/>
              </w:rPr>
              <w:t>网格大小（m）</w:t>
            </w:r>
            <w:r>
              <w:rPr>
                <w:rFonts w:hint="eastAsia"/>
                <w:szCs w:val="18"/>
              </w:rPr>
              <w:t xml:space="preserve">                                        </w:t>
            </w:r>
            <w:r>
              <w:rPr>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auto"/>
            <w:vAlign w:val="center"/>
          </w:tcPr>
          <w:p>
            <w:pPr>
              <w:jc w:val="center"/>
              <w:rPr>
                <w:szCs w:val="18"/>
              </w:rPr>
            </w:pPr>
            <w:r>
              <w:rPr>
                <w:rFonts w:hint="eastAsia"/>
                <w:szCs w:val="18"/>
              </w:rPr>
              <w:t>≤</w:t>
            </w:r>
            <w:bookmarkStart w:id="32" w:name="网格划分小房间面积"/>
            <w:r>
              <w:rPr>
                <w:rFonts w:hint="eastAsia"/>
                <w:szCs w:val="18"/>
              </w:rPr>
              <w:t>10</w:t>
            </w:r>
            <w:bookmarkEnd w:id="32"/>
          </w:p>
        </w:tc>
        <w:tc>
          <w:tcPr>
            <w:tcW w:w="3272" w:type="dxa"/>
            <w:shd w:val="clear" w:color="auto" w:fill="auto"/>
            <w:vAlign w:val="center"/>
          </w:tcPr>
          <w:p>
            <w:pPr>
              <w:jc w:val="center"/>
              <w:rPr>
                <w:szCs w:val="18"/>
              </w:rPr>
            </w:pPr>
            <w:bookmarkStart w:id="33" w:name="小房间网格大小"/>
            <w:r>
              <w:rPr>
                <w:rFonts w:hint="eastAsia"/>
                <w:szCs w:val="18"/>
              </w:rPr>
              <w:t>0.25</w:t>
            </w:r>
            <w:bookmarkEnd w:id="3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auto"/>
            <w:vAlign w:val="center"/>
          </w:tcPr>
          <w:p>
            <w:pPr>
              <w:jc w:val="center"/>
              <w:rPr>
                <w:szCs w:val="18"/>
              </w:rPr>
            </w:pPr>
            <w:bookmarkStart w:id="34" w:name="网格划分房间面积"/>
            <w:r>
              <w:rPr>
                <w:rFonts w:hint="eastAsia"/>
                <w:szCs w:val="18"/>
              </w:rPr>
              <w:t>10~100</w:t>
            </w:r>
            <w:bookmarkEnd w:id="34"/>
          </w:p>
        </w:tc>
        <w:tc>
          <w:tcPr>
            <w:tcW w:w="3272" w:type="dxa"/>
            <w:shd w:val="clear" w:color="auto" w:fill="auto"/>
            <w:vAlign w:val="center"/>
          </w:tcPr>
          <w:p>
            <w:pPr>
              <w:jc w:val="center"/>
              <w:rPr>
                <w:szCs w:val="18"/>
              </w:rPr>
            </w:pPr>
            <w:bookmarkStart w:id="35" w:name="网格大小"/>
            <w:r>
              <w:rPr>
                <w:rFonts w:hint="eastAsia"/>
                <w:szCs w:val="18"/>
              </w:rPr>
              <w:t>0.50</w:t>
            </w:r>
            <w:bookmarkEnd w:id="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36" w:name="网格划分大房间面积"/>
            <w:r>
              <w:rPr>
                <w:rFonts w:hint="eastAsia"/>
                <w:szCs w:val="18"/>
              </w:rPr>
              <w:t>100</w:t>
            </w:r>
            <w:bookmarkEnd w:id="36"/>
          </w:p>
        </w:tc>
        <w:tc>
          <w:tcPr>
            <w:tcW w:w="3272" w:type="dxa"/>
            <w:shd w:val="clear" w:color="auto" w:fill="auto"/>
            <w:vAlign w:val="center"/>
          </w:tcPr>
          <w:p>
            <w:pPr>
              <w:jc w:val="center"/>
              <w:rPr>
                <w:szCs w:val="18"/>
              </w:rPr>
            </w:pPr>
            <w:bookmarkStart w:id="37" w:name="大房间网格大小"/>
            <w:r>
              <w:rPr>
                <w:rFonts w:hint="eastAsia"/>
                <w:szCs w:val="18"/>
              </w:rPr>
              <w:t>1.00</w:t>
            </w:r>
            <w:bookmarkEnd w:id="37"/>
          </w:p>
        </w:tc>
      </w:tr>
    </w:tbl>
    <w:p>
      <w:pPr>
        <w:pStyle w:val="14"/>
        <w:spacing w:line="420" w:lineRule="auto"/>
        <w:ind w:firstLine="422"/>
        <w:rPr>
          <w:sz w:val="21"/>
          <w:szCs w:val="21"/>
        </w:rPr>
      </w:pPr>
      <w:r>
        <w:rPr>
          <w:b/>
          <w:sz w:val="21"/>
          <w:szCs w:val="21"/>
        </w:rPr>
        <w:t>周边环境</w:t>
      </w:r>
      <w:r>
        <w:rPr>
          <w:rFonts w:hint="eastAsia"/>
          <w:b/>
          <w:sz w:val="21"/>
          <w:szCs w:val="21"/>
        </w:rPr>
        <w:t>：</w:t>
      </w:r>
      <w:r>
        <w:rPr>
          <w:sz w:val="21"/>
          <w:szCs w:val="21"/>
        </w:rPr>
        <w:t>考虑</w:t>
      </w:r>
      <w:r>
        <w:rPr>
          <w:rFonts w:hint="eastAsia"/>
          <w:sz w:val="21"/>
          <w:szCs w:val="21"/>
        </w:rPr>
        <w:t>分析区内的</w:t>
      </w:r>
      <w:r>
        <w:rPr>
          <w:sz w:val="21"/>
          <w:szCs w:val="21"/>
        </w:rPr>
        <w:t>建筑物</w:t>
      </w:r>
      <w:r>
        <w:rPr>
          <w:rFonts w:hint="eastAsia"/>
          <w:sz w:val="21"/>
          <w:szCs w:val="21"/>
        </w:rPr>
        <w:t>之间</w:t>
      </w:r>
      <w:r>
        <w:rPr>
          <w:sz w:val="21"/>
          <w:szCs w:val="21"/>
        </w:rPr>
        <w:t>遮挡</w:t>
      </w:r>
    </w:p>
    <w:p>
      <w:pPr>
        <w:pStyle w:val="14"/>
        <w:spacing w:line="420" w:lineRule="auto"/>
        <w:ind w:firstLine="422"/>
        <w:rPr>
          <w:sz w:val="21"/>
          <w:szCs w:val="21"/>
        </w:rPr>
      </w:pPr>
      <w:r>
        <w:rPr>
          <w:rFonts w:hint="eastAsia"/>
          <w:b/>
          <w:sz w:val="21"/>
          <w:szCs w:val="21"/>
        </w:rPr>
        <w:t>室内环境：</w:t>
      </w:r>
      <w:r>
        <w:rPr>
          <w:sz w:val="21"/>
          <w:szCs w:val="21"/>
        </w:rPr>
        <w:t>忽略室内家具</w:t>
      </w:r>
      <w:r>
        <w:rPr>
          <w:rFonts w:hint="eastAsia"/>
          <w:sz w:val="21"/>
          <w:szCs w:val="21"/>
        </w:rPr>
        <w:t>类设施</w:t>
      </w:r>
      <w:r>
        <w:rPr>
          <w:sz w:val="21"/>
          <w:szCs w:val="21"/>
        </w:rPr>
        <w:t>的影响，</w:t>
      </w:r>
      <w:r>
        <w:rPr>
          <w:rFonts w:hint="eastAsia"/>
          <w:sz w:val="21"/>
          <w:szCs w:val="21"/>
        </w:rPr>
        <w:t>只考虑永久固定的顶棚、地面和墙面、</w:t>
      </w:r>
      <w:r>
        <w:rPr>
          <w:sz w:val="21"/>
          <w:szCs w:val="21"/>
        </w:rPr>
        <w:t>。</w:t>
      </w:r>
    </w:p>
    <w:p>
      <w:pPr>
        <w:pStyle w:val="14"/>
        <w:spacing w:line="420" w:lineRule="auto"/>
        <w:ind w:firstLine="420"/>
        <w:rPr>
          <w:sz w:val="21"/>
          <w:szCs w:val="21"/>
        </w:rPr>
      </w:pPr>
    </w:p>
    <w:p>
      <w:pPr>
        <w:pStyle w:val="4"/>
      </w:pPr>
      <w:bookmarkStart w:id="38" w:name="_Toc3073"/>
      <w:r>
        <w:rPr>
          <w:rFonts w:hint="eastAsia"/>
        </w:rPr>
        <w:t>门窗类型参数</w:t>
      </w:r>
      <w:bookmarkEnd w:id="38"/>
    </w:p>
    <w:p>
      <w:pPr>
        <w:pStyle w:val="3"/>
        <w:ind w:firstLine="420"/>
        <w:rPr>
          <w:lang w:val="en-US"/>
        </w:rPr>
      </w:pPr>
      <w:r>
        <w:rPr>
          <w:rFonts w:hint="eastAsia"/>
          <w:lang w:val="en-US"/>
        </w:rPr>
        <w:t>采光口决定了建筑内部</w:t>
      </w:r>
      <w:r>
        <w:rPr>
          <w:lang w:val="en-US"/>
        </w:rPr>
        <w:t>的视野情况</w:t>
      </w:r>
      <w:r>
        <w:rPr>
          <w:rFonts w:hint="eastAsia"/>
          <w:lang w:val="en-US"/>
        </w:rPr>
        <w:t>。工程中最为常见也最广为使用的一种采光途径就是在建筑侧墙上安装窗户或者在建筑顶部安装天窗等采光构件，窗的位置、尺寸、形态等都会对视野带来不同程度的影响。建筑中的常用的透光门也会对自然光的传播提供便利，提供</w:t>
      </w:r>
      <w:r>
        <w:rPr>
          <w:lang w:val="en-US"/>
        </w:rPr>
        <w:t>更好的视野</w:t>
      </w:r>
      <w:r>
        <w:rPr>
          <w:rFonts w:hint="eastAsia"/>
          <w:lang w:val="en-US"/>
        </w:rPr>
        <w:t>。</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sz w:val="18"/>
          <w:szCs w:val="18"/>
          <w:lang w:val="en-US"/>
        </w:rPr>
      </w:pPr>
    </w:p>
    <w:p>
      <w:pPr>
        <w:pStyle w:val="5"/>
      </w:pPr>
      <w:bookmarkStart w:id="39" w:name="_Toc22286"/>
      <w:bookmarkStart w:id="40" w:name="窗"/>
      <w:r>
        <w:t>普通</w:t>
      </w:r>
      <w:r>
        <w:rPr>
          <w:rFonts w:hint="eastAsia"/>
        </w:rPr>
        <w:t>窗</w:t>
      </w:r>
      <w:bookmarkEnd w:id="39"/>
    </w:p>
    <w:bookmarkEnd w:id="40"/>
    <w:tbl>
      <w:tblPr>
        <w:tblStyle w:val="22"/>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1200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C1115</w:t>
            </w:r>
          </w:p>
        </w:tc>
        <w:tc>
          <w:tcPr>
            <w:vAlign w:val="center"/>
          </w:tcPr>
          <w:p>
            <w:r>
              <w:t>1100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C1515</w:t>
            </w:r>
          </w:p>
        </w:tc>
        <w:tc>
          <w:tcPr>
            <w:vAlign w:val="center"/>
          </w:tcPr>
          <w:p>
            <w:r>
              <w:t>1500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C2115</w:t>
            </w:r>
          </w:p>
        </w:tc>
        <w:tc>
          <w:tcPr>
            <w:vAlign w:val="center"/>
          </w:tcPr>
          <w:p>
            <w:r>
              <w:t>2100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C3021</w:t>
            </w:r>
          </w:p>
        </w:tc>
        <w:tc>
          <w:tcPr>
            <w:vAlign w:val="center"/>
          </w:tcPr>
          <w:p>
            <w:r>
              <w:t>3000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C7221</w:t>
            </w:r>
          </w:p>
        </w:tc>
        <w:tc>
          <w:tcPr>
            <w:vAlign w:val="center"/>
          </w:tcPr>
          <w:p>
            <w:r>
              <w:t>7200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GC0404</w:t>
            </w:r>
          </w:p>
        </w:tc>
        <w:tc>
          <w:tcPr>
            <w:vAlign w:val="center"/>
          </w:tcPr>
          <w:p>
            <w:r>
              <w:t>400</w:t>
            </w:r>
          </w:p>
        </w:tc>
        <w:tc>
          <w:tcPr>
            <w:vAlign w:val="center"/>
          </w:tcPr>
          <w:p>
            <w:r>
              <w:t>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GC4815</w:t>
            </w:r>
          </w:p>
        </w:tc>
        <w:tc>
          <w:tcPr>
            <w:vAlign w:val="center"/>
          </w:tcPr>
          <w:p>
            <w:r>
              <w:t>4800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MC-4'</w:t>
            </w:r>
          </w:p>
        </w:tc>
        <w:tc>
          <w:tcPr>
            <w:vAlign w:val="center"/>
          </w:tcPr>
          <w:p>
            <w:r>
              <w:t>2736</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MC-7</w:t>
            </w:r>
          </w:p>
        </w:tc>
        <w:tc>
          <w:tcPr>
            <w:vAlign w:val="center"/>
          </w:tcPr>
          <w:p>
            <w:r>
              <w:t>1500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TC0926</w:t>
            </w:r>
          </w:p>
        </w:tc>
        <w:tc>
          <w:tcPr>
            <w:vAlign w:val="center"/>
          </w:tcPr>
          <w:p>
            <w:r>
              <w:t>900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TC1223</w:t>
            </w:r>
          </w:p>
        </w:tc>
        <w:tc>
          <w:tcPr>
            <w:vAlign w:val="center"/>
          </w:tcPr>
          <w:p>
            <w:r>
              <w:t>1200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TC1526</w:t>
            </w:r>
          </w:p>
        </w:tc>
        <w:tc>
          <w:tcPr>
            <w:vAlign w:val="center"/>
          </w:tcPr>
          <w:p>
            <w:r>
              <w:t>1500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TC1527</w:t>
            </w:r>
          </w:p>
        </w:tc>
        <w:tc>
          <w:tcPr>
            <w:vAlign w:val="center"/>
          </w:tcPr>
          <w:p>
            <w:r>
              <w:t>1500</w:t>
            </w:r>
          </w:p>
        </w:tc>
        <w:tc>
          <w:tcPr>
            <w:vAlign w:val="center"/>
          </w:tcPr>
          <w:p>
            <w:r>
              <w:t>2700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TC1923</w:t>
            </w:r>
          </w:p>
        </w:tc>
        <w:tc>
          <w:tcPr>
            <w:vAlign w:val="center"/>
          </w:tcPr>
          <w:p>
            <w:r>
              <w:t>1900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TC2217</w:t>
            </w:r>
          </w:p>
        </w:tc>
        <w:tc>
          <w:tcPr>
            <w:vAlign w:val="center"/>
          </w:tcPr>
          <w:p>
            <w:r>
              <w:t>2200</w:t>
            </w:r>
          </w:p>
        </w:tc>
        <w:tc>
          <w:tcPr>
            <w:vAlign w:val="center"/>
          </w:tcPr>
          <w:p>
            <w:r>
              <w:t>1700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TC2223</w:t>
            </w:r>
          </w:p>
        </w:tc>
        <w:tc>
          <w:tcPr>
            <w:vAlign w:val="center"/>
          </w:tcPr>
          <w:p>
            <w:r>
              <w:t>2200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TC2226</w:t>
            </w:r>
          </w:p>
        </w:tc>
        <w:tc>
          <w:tcPr>
            <w:vAlign w:val="center"/>
          </w:tcPr>
          <w:p>
            <w:r>
              <w:t>2200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TC2415</w:t>
            </w:r>
          </w:p>
        </w:tc>
        <w:tc>
          <w:tcPr>
            <w:vAlign w:val="center"/>
          </w:tcPr>
          <w:p>
            <w:r>
              <w:t>2400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TC2416</w:t>
            </w:r>
          </w:p>
        </w:tc>
        <w:tc>
          <w:tcPr>
            <w:vAlign w:val="center"/>
          </w:tcPr>
          <w:p>
            <w:r>
              <w:t>2400</w:t>
            </w:r>
          </w:p>
        </w:tc>
        <w:tc>
          <w:tcPr>
            <w:vAlign w:val="center"/>
          </w:tcPr>
          <w:p>
            <w:r>
              <w:t>1600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TC2417</w:t>
            </w:r>
          </w:p>
        </w:tc>
        <w:tc>
          <w:tcPr>
            <w:vAlign w:val="center"/>
          </w:tcPr>
          <w:p>
            <w:r>
              <w:t>2400</w:t>
            </w:r>
          </w:p>
        </w:tc>
        <w:tc>
          <w:tcPr>
            <w:vAlign w:val="center"/>
          </w:tcPr>
          <w:p>
            <w:r>
              <w:t>1700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TC2423</w:t>
            </w:r>
          </w:p>
        </w:tc>
        <w:tc>
          <w:tcPr>
            <w:vAlign w:val="center"/>
          </w:tcPr>
          <w:p>
            <w:r>
              <w:t>2400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TC2517</w:t>
            </w:r>
          </w:p>
        </w:tc>
        <w:tc>
          <w:tcPr>
            <w:vAlign w:val="center"/>
          </w:tcPr>
          <w:p>
            <w:r>
              <w:t>2500</w:t>
            </w:r>
          </w:p>
        </w:tc>
        <w:tc>
          <w:tcPr>
            <w:vAlign w:val="center"/>
          </w:tcPr>
          <w:p>
            <w:r>
              <w:t>1700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TC2523</w:t>
            </w:r>
          </w:p>
        </w:tc>
        <w:tc>
          <w:tcPr>
            <w:vAlign w:val="center"/>
          </w:tcPr>
          <w:p>
            <w:r>
              <w:t>2500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TC2616</w:t>
            </w:r>
          </w:p>
        </w:tc>
        <w:tc>
          <w:tcPr>
            <w:vAlign w:val="center"/>
          </w:tcPr>
          <w:p>
            <w:r>
              <w:t>2600</w:t>
            </w:r>
          </w:p>
        </w:tc>
        <w:tc>
          <w:tcPr>
            <w:vAlign w:val="center"/>
          </w:tcPr>
          <w:p>
            <w:r>
              <w:t>1600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TC2617</w:t>
            </w:r>
          </w:p>
        </w:tc>
        <w:tc>
          <w:tcPr>
            <w:vAlign w:val="center"/>
          </w:tcPr>
          <w:p>
            <w:r>
              <w:t>2600</w:t>
            </w:r>
          </w:p>
        </w:tc>
        <w:tc>
          <w:tcPr>
            <w:vAlign w:val="center"/>
          </w:tcPr>
          <w:p>
            <w:r>
              <w:t>1700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TC2626</w:t>
            </w:r>
          </w:p>
        </w:tc>
        <w:tc>
          <w:tcPr>
            <w:vAlign w:val="center"/>
          </w:tcPr>
          <w:p>
            <w:r>
              <w:t>2600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TC2716</w:t>
            </w:r>
          </w:p>
        </w:tc>
        <w:tc>
          <w:tcPr>
            <w:vAlign w:val="center"/>
          </w:tcPr>
          <w:p>
            <w:r>
              <w:t>2700</w:t>
            </w:r>
          </w:p>
        </w:tc>
        <w:tc>
          <w:tcPr>
            <w:vAlign w:val="center"/>
          </w:tcPr>
          <w:p>
            <w:r>
              <w:t>1600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TC2717</w:t>
            </w:r>
          </w:p>
        </w:tc>
        <w:tc>
          <w:tcPr>
            <w:vAlign w:val="center"/>
          </w:tcPr>
          <w:p>
            <w:r>
              <w:t>2700</w:t>
            </w:r>
          </w:p>
        </w:tc>
        <w:tc>
          <w:tcPr>
            <w:vAlign w:val="center"/>
          </w:tcPr>
          <w:p>
            <w:r>
              <w:t>1700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TC2723</w:t>
            </w:r>
          </w:p>
        </w:tc>
        <w:tc>
          <w:tcPr>
            <w:vAlign w:val="center"/>
          </w:tcPr>
          <w:p>
            <w:r>
              <w:t>2700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TC2726</w:t>
            </w:r>
          </w:p>
        </w:tc>
        <w:tc>
          <w:tcPr>
            <w:vAlign w:val="center"/>
          </w:tcPr>
          <w:p>
            <w:r>
              <w:t>2700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TC3016</w:t>
            </w:r>
          </w:p>
        </w:tc>
        <w:tc>
          <w:tcPr>
            <w:vAlign w:val="center"/>
          </w:tcPr>
          <w:p>
            <w:r>
              <w:t>3000</w:t>
            </w:r>
          </w:p>
        </w:tc>
        <w:tc>
          <w:tcPr>
            <w:vAlign w:val="center"/>
          </w:tcPr>
          <w:p>
            <w:r>
              <w:t>1600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TC3017</w:t>
            </w:r>
          </w:p>
        </w:tc>
        <w:tc>
          <w:tcPr>
            <w:vAlign w:val="center"/>
          </w:tcPr>
          <w:p>
            <w:r>
              <w:t>3000</w:t>
            </w:r>
          </w:p>
        </w:tc>
        <w:tc>
          <w:tcPr>
            <w:vAlign w:val="center"/>
          </w:tcPr>
          <w:p>
            <w:r>
              <w:t>1700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TC3023</w:t>
            </w:r>
          </w:p>
        </w:tc>
        <w:tc>
          <w:tcPr>
            <w:vAlign w:val="center"/>
          </w:tcPr>
          <w:p>
            <w:r>
              <w:t>3000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TC3026</w:t>
            </w:r>
          </w:p>
        </w:tc>
        <w:tc>
          <w:tcPr>
            <w:vAlign w:val="center"/>
          </w:tcPr>
          <w:p>
            <w:r>
              <w:t>3000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TC3126</w:t>
            </w:r>
          </w:p>
        </w:tc>
        <w:tc>
          <w:tcPr>
            <w:vAlign w:val="center"/>
          </w:tcPr>
          <w:p>
            <w:r>
              <w:t>3100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TC3323</w:t>
            </w:r>
          </w:p>
        </w:tc>
        <w:tc>
          <w:tcPr>
            <w:vAlign w:val="center"/>
          </w:tcPr>
          <w:p>
            <w:r>
              <w:t>3300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TC3326</w:t>
            </w:r>
          </w:p>
        </w:tc>
        <w:tc>
          <w:tcPr>
            <w:vAlign w:val="center"/>
          </w:tcPr>
          <w:p>
            <w:r>
              <w:t>3000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TC3333</w:t>
            </w:r>
          </w:p>
        </w:tc>
        <w:tc>
          <w:tcPr>
            <w:vAlign w:val="center"/>
          </w:tcPr>
          <w:p>
            <w:r>
              <w:t>3300</w:t>
            </w:r>
          </w:p>
        </w:tc>
        <w:tc>
          <w:tcPr>
            <w:vAlign w:val="center"/>
          </w:tcPr>
          <w:p>
            <w:r>
              <w:t>3300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TC3623</w:t>
            </w:r>
          </w:p>
        </w:tc>
        <w:tc>
          <w:tcPr>
            <w:vAlign w:val="center"/>
          </w:tcPr>
          <w:p>
            <w:r>
              <w:t>3600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TC3717</w:t>
            </w:r>
          </w:p>
        </w:tc>
        <w:tc>
          <w:tcPr>
            <w:vAlign w:val="center"/>
          </w:tcPr>
          <w:p>
            <w:r>
              <w:t>3700</w:t>
            </w:r>
          </w:p>
        </w:tc>
        <w:tc>
          <w:tcPr>
            <w:vAlign w:val="center"/>
          </w:tcPr>
          <w:p>
            <w:r>
              <w:t>1700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TC3723</w:t>
            </w:r>
          </w:p>
        </w:tc>
        <w:tc>
          <w:tcPr>
            <w:vAlign w:val="center"/>
          </w:tcPr>
          <w:p>
            <w:r>
              <w:t>3700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TC3915</w:t>
            </w:r>
          </w:p>
        </w:tc>
        <w:tc>
          <w:tcPr>
            <w:vAlign w:val="center"/>
          </w:tcPr>
          <w:p>
            <w:r>
              <w:t>3900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TC3923</w:t>
            </w:r>
          </w:p>
        </w:tc>
        <w:tc>
          <w:tcPr>
            <w:vAlign w:val="center"/>
          </w:tcPr>
          <w:p>
            <w:r>
              <w:t>3600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TC4226</w:t>
            </w:r>
          </w:p>
        </w:tc>
        <w:tc>
          <w:tcPr>
            <w:vAlign w:val="center"/>
          </w:tcPr>
          <w:p>
            <w:r>
              <w:t>4200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TC4227</w:t>
            </w:r>
          </w:p>
        </w:tc>
        <w:tc>
          <w:tcPr>
            <w:vAlign w:val="center"/>
          </w:tcPr>
          <w:p>
            <w:r>
              <w:t>4200</w:t>
            </w:r>
          </w:p>
        </w:tc>
        <w:tc>
          <w:tcPr>
            <w:vAlign w:val="center"/>
          </w:tcPr>
          <w:p>
            <w:r>
              <w:t>2700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TC4527</w:t>
            </w:r>
          </w:p>
        </w:tc>
        <w:tc>
          <w:tcPr>
            <w:vAlign w:val="center"/>
          </w:tcPr>
          <w:p>
            <w:r>
              <w:t>4500</w:t>
            </w:r>
          </w:p>
        </w:tc>
        <w:tc>
          <w:tcPr>
            <w:vAlign w:val="center"/>
          </w:tcPr>
          <w:p>
            <w:r>
              <w:t>2700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TC4826</w:t>
            </w:r>
          </w:p>
        </w:tc>
        <w:tc>
          <w:tcPr>
            <w:vAlign w:val="center"/>
          </w:tcPr>
          <w:p>
            <w:r>
              <w:t>4800</w:t>
            </w:r>
          </w:p>
        </w:tc>
        <w:tc>
          <w:tcPr>
            <w:vAlign w:val="center"/>
          </w:tcPr>
          <w:p>
            <w:r>
              <w:t>2600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TC4833</w:t>
            </w:r>
          </w:p>
        </w:tc>
        <w:tc>
          <w:tcPr>
            <w:vAlign w:val="center"/>
          </w:tcPr>
          <w:p>
            <w:r>
              <w:t>4800</w:t>
            </w:r>
          </w:p>
        </w:tc>
        <w:tc>
          <w:tcPr>
            <w:vAlign w:val="center"/>
          </w:tcPr>
          <w:p>
            <w:r>
              <w:t>3300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透光门-MC-4</w:t>
            </w:r>
          </w:p>
        </w:tc>
        <w:tc>
          <w:tcPr>
            <w:vAlign w:val="center"/>
          </w:tcPr>
          <w:p>
            <w:r>
              <w:t>1800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2"/>
        <w:ind w:left="432" w:hanging="432"/>
      </w:pPr>
      <w:bookmarkStart w:id="41" w:name="_Toc30729"/>
      <w:r>
        <w:rPr>
          <w:rFonts w:hint="eastAsia"/>
        </w:rPr>
        <w:t>分析统计结果</w:t>
      </w:r>
      <w:bookmarkEnd w:id="41"/>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要求</w:t>
      </w:r>
      <w:r>
        <w:rPr>
          <w:lang w:val="en-US"/>
        </w:rPr>
        <w:t>，</w:t>
      </w:r>
      <w:r>
        <w:rPr>
          <w:rFonts w:hint="eastAsia"/>
          <w:lang w:val="en-US"/>
        </w:rPr>
        <w:t>对</w:t>
      </w:r>
      <w:r>
        <w:rPr>
          <w:lang w:val="en-US"/>
        </w:rPr>
        <w:t>项目内的主要功能房间的视野率进行计算统计，结果如下表所示：</w:t>
      </w:r>
    </w:p>
    <w:tbl>
      <w:tblPr>
        <w:tblStyle w:val="22"/>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340"/>
        <w:gridCol w:w="791"/>
        <w:gridCol w:w="708"/>
        <w:gridCol w:w="423"/>
        <w:gridCol w:w="764"/>
        <w:gridCol w:w="312"/>
        <w:gridCol w:w="452"/>
        <w:gridCol w:w="1132"/>
        <w:gridCol w:w="311"/>
        <w:gridCol w:w="1273"/>
        <w:gridCol w:w="170"/>
        <w:gridCol w:w="1414"/>
        <w:gridCol w:w="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gridSpan w:val="2"/>
            <w:shd w:val="clear" w:color="auto" w:fill="E6E6E6"/>
            <w:vAlign w:val="center"/>
          </w:tcPr>
          <w:p>
            <w:pPr>
              <w:jc w:val="center"/>
            </w:pPr>
            <w:r>
              <w:t>房间类型</w:t>
            </w:r>
          </w:p>
        </w:tc>
        <w:tc>
          <w:tcPr>
            <w:shd w:val="clear" w:color="auto" w:fill="E6E6E6"/>
            <w:vAlign w:val="center"/>
          </w:tcPr>
          <w:p>
            <w:pPr>
              <w:jc w:val="center"/>
            </w:pPr>
            <w:r>
              <w:t>采光</w:t>
            </w:r>
            <w:r>
              <w:br w:type="textWrapping"/>
            </w:r>
            <w:r>
              <w:t>等级</w:t>
            </w:r>
          </w:p>
        </w:tc>
        <w:tc>
          <w:tcPr>
            <w:gridSpan w:val="2"/>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可看到景观</w:t>
            </w:r>
            <w:r>
              <w:br w:type="textWrapping"/>
            </w:r>
            <w:r>
              <w:t>面积(m2)</w:t>
            </w:r>
          </w:p>
        </w:tc>
        <w:tc>
          <w:tcPr>
            <w:gridSpan w:val="2"/>
            <w:shd w:val="clear" w:color="auto" w:fill="E6E6E6"/>
            <w:vAlign w:val="center"/>
          </w:tcPr>
          <w:p>
            <w:pPr>
              <w:jc w:val="center"/>
            </w:pPr>
            <w:r>
              <w:t>面积比例</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gridSpan w:val="2"/>
            <w:vAlign w:val="center"/>
          </w:tcPr>
          <w:p>
            <w:pPr>
              <w:jc w:val="center"/>
            </w:pPr>
            <w:r>
              <w:t>1013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16.50</w:t>
            </w:r>
          </w:p>
        </w:tc>
        <w:tc>
          <w:tcPr>
            <w:gridSpan w:val="2"/>
            <w:vAlign w:val="center"/>
          </w:tcPr>
          <w:p>
            <w:pPr>
              <w:jc w:val="center"/>
            </w:pPr>
            <w:r>
              <w:t>15.00</w:t>
            </w:r>
          </w:p>
        </w:tc>
        <w:tc>
          <w:tcPr>
            <w:gridSpan w:val="2"/>
            <w:vAlign w:val="center"/>
          </w:tcPr>
          <w:p>
            <w:pPr>
              <w:jc w:val="center"/>
            </w:pPr>
            <w:r>
              <w:t>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1010</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41.82</w:t>
            </w:r>
          </w:p>
        </w:tc>
        <w:tc>
          <w:tcPr>
            <w:gridSpan w:val="2"/>
            <w:vAlign w:val="center"/>
          </w:tcPr>
          <w:p>
            <w:pPr>
              <w:jc w:val="center"/>
            </w:pPr>
            <w:r>
              <w:t>38.68</w:t>
            </w:r>
          </w:p>
        </w:tc>
        <w:tc>
          <w:tcPr>
            <w:gridSpan w:val="2"/>
            <w:vAlign w:val="center"/>
          </w:tcPr>
          <w:p>
            <w:pPr>
              <w:jc w:val="center"/>
            </w:pPr>
            <w:r>
              <w:t>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1008</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70.48</w:t>
            </w:r>
          </w:p>
        </w:tc>
        <w:tc>
          <w:tcPr>
            <w:gridSpan w:val="2"/>
            <w:vAlign w:val="center"/>
          </w:tcPr>
          <w:p>
            <w:pPr>
              <w:jc w:val="center"/>
            </w:pPr>
            <w:r>
              <w:t>69.98</w:t>
            </w:r>
          </w:p>
        </w:tc>
        <w:tc>
          <w:tcPr>
            <w:gridSpan w:val="2"/>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1006</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72.04</w:t>
            </w:r>
          </w:p>
        </w:tc>
        <w:tc>
          <w:tcPr>
            <w:gridSpan w:val="2"/>
            <w:vAlign w:val="center"/>
          </w:tcPr>
          <w:p>
            <w:pPr>
              <w:jc w:val="center"/>
            </w:pPr>
            <w:r>
              <w:t>70.23</w:t>
            </w:r>
          </w:p>
        </w:tc>
        <w:tc>
          <w:tcPr>
            <w:gridSpan w:val="2"/>
            <w:vAlign w:val="center"/>
          </w:tcPr>
          <w:p>
            <w:pPr>
              <w:jc w:val="center"/>
            </w:pPr>
            <w: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1005</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106.22</w:t>
            </w:r>
          </w:p>
        </w:tc>
        <w:tc>
          <w:tcPr>
            <w:gridSpan w:val="2"/>
            <w:vAlign w:val="center"/>
          </w:tcPr>
          <w:p>
            <w:pPr>
              <w:jc w:val="center"/>
            </w:pPr>
            <w:r>
              <w:t>106.22</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1004</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158.48</w:t>
            </w:r>
          </w:p>
        </w:tc>
        <w:tc>
          <w:tcPr>
            <w:gridSpan w:val="2"/>
            <w:vAlign w:val="center"/>
          </w:tcPr>
          <w:p>
            <w:pPr>
              <w:jc w:val="center"/>
            </w:pPr>
            <w:r>
              <w:t>158.48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1001</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765.23</w:t>
            </w:r>
          </w:p>
        </w:tc>
        <w:tc>
          <w:tcPr>
            <w:gridSpan w:val="2"/>
            <w:vAlign w:val="center"/>
          </w:tcPr>
          <w:p>
            <w:pPr>
              <w:jc w:val="center"/>
            </w:pPr>
            <w:r>
              <w:t>765.23</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gridSpan w:val="2"/>
            <w:vAlign w:val="center"/>
          </w:tcPr>
          <w:p>
            <w:pPr>
              <w:jc w:val="center"/>
            </w:pPr>
            <w:r>
              <w:t>2013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34.03</w:t>
            </w:r>
          </w:p>
        </w:tc>
        <w:tc>
          <w:tcPr>
            <w:gridSpan w:val="2"/>
            <w:vAlign w:val="center"/>
          </w:tcPr>
          <w:p>
            <w:pPr>
              <w:jc w:val="center"/>
            </w:pPr>
            <w:r>
              <w:t>34.03</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2012</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35.67</w:t>
            </w:r>
          </w:p>
        </w:tc>
        <w:tc>
          <w:tcPr>
            <w:gridSpan w:val="2"/>
            <w:vAlign w:val="center"/>
          </w:tcPr>
          <w:p>
            <w:pPr>
              <w:jc w:val="center"/>
            </w:pPr>
            <w:r>
              <w:t>35.42</w:t>
            </w:r>
          </w:p>
        </w:tc>
        <w:tc>
          <w:tcPr>
            <w:gridSpan w:val="2"/>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2011</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35.67</w:t>
            </w:r>
          </w:p>
        </w:tc>
        <w:tc>
          <w:tcPr>
            <w:gridSpan w:val="2"/>
            <w:vAlign w:val="center"/>
          </w:tcPr>
          <w:p>
            <w:pPr>
              <w:jc w:val="center"/>
            </w:pPr>
            <w:r>
              <w:t>35.67</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2010</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38.52</w:t>
            </w:r>
          </w:p>
        </w:tc>
        <w:tc>
          <w:tcPr>
            <w:gridSpan w:val="2"/>
            <w:vAlign w:val="center"/>
          </w:tcPr>
          <w:p>
            <w:pPr>
              <w:jc w:val="center"/>
            </w:pPr>
            <w:r>
              <w:t>38.52</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2008</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69.69</w:t>
            </w:r>
          </w:p>
        </w:tc>
        <w:tc>
          <w:tcPr>
            <w:gridSpan w:val="2"/>
            <w:vAlign w:val="center"/>
          </w:tcPr>
          <w:p>
            <w:pPr>
              <w:jc w:val="center"/>
            </w:pPr>
            <w:r>
              <w:t>69.69</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2007</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105.78</w:t>
            </w:r>
          </w:p>
        </w:tc>
        <w:tc>
          <w:tcPr>
            <w:gridSpan w:val="2"/>
            <w:vAlign w:val="center"/>
          </w:tcPr>
          <w:p>
            <w:pPr>
              <w:jc w:val="center"/>
            </w:pPr>
            <w:r>
              <w:t>105.78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2006</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107.41</w:t>
            </w:r>
          </w:p>
        </w:tc>
        <w:tc>
          <w:tcPr>
            <w:gridSpan w:val="2"/>
            <w:vAlign w:val="center"/>
          </w:tcPr>
          <w:p>
            <w:pPr>
              <w:jc w:val="center"/>
            </w:pPr>
            <w:r>
              <w:t>107.41</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2005</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107.45</w:t>
            </w:r>
          </w:p>
        </w:tc>
        <w:tc>
          <w:tcPr>
            <w:gridSpan w:val="2"/>
            <w:vAlign w:val="center"/>
          </w:tcPr>
          <w:p>
            <w:pPr>
              <w:jc w:val="center"/>
            </w:pPr>
            <w:r>
              <w:t>106.44</w:t>
            </w:r>
          </w:p>
        </w:tc>
        <w:tc>
          <w:tcPr>
            <w:gridSpan w:val="2"/>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2004</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109.00</w:t>
            </w:r>
          </w:p>
        </w:tc>
        <w:tc>
          <w:tcPr>
            <w:gridSpan w:val="2"/>
            <w:vAlign w:val="center"/>
          </w:tcPr>
          <w:p>
            <w:pPr>
              <w:jc w:val="center"/>
            </w:pPr>
            <w:r>
              <w:t>108.05</w:t>
            </w:r>
          </w:p>
        </w:tc>
        <w:tc>
          <w:tcPr>
            <w:gridSpan w:val="2"/>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2003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117.56</w:t>
            </w:r>
          </w:p>
        </w:tc>
        <w:tc>
          <w:tcPr>
            <w:gridSpan w:val="2"/>
            <w:vAlign w:val="center"/>
          </w:tcPr>
          <w:p>
            <w:pPr>
              <w:jc w:val="center"/>
            </w:pPr>
            <w:r>
              <w:t>116.54</w:t>
            </w:r>
          </w:p>
        </w:tc>
        <w:tc>
          <w:tcPr>
            <w:gridSpan w:val="2"/>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gridSpan w:val="2"/>
            <w:vAlign w:val="center"/>
          </w:tcPr>
          <w:p>
            <w:pPr>
              <w:jc w:val="center"/>
            </w:pPr>
            <w:r>
              <w:t>3006</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68.02</w:t>
            </w:r>
          </w:p>
        </w:tc>
        <w:tc>
          <w:tcPr>
            <w:gridSpan w:val="2"/>
            <w:vAlign w:val="center"/>
          </w:tcPr>
          <w:p>
            <w:pPr>
              <w:jc w:val="center"/>
            </w:pPr>
            <w:r>
              <w:t>68.02</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3005</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68.02</w:t>
            </w:r>
          </w:p>
        </w:tc>
        <w:tc>
          <w:tcPr>
            <w:gridSpan w:val="2"/>
            <w:vAlign w:val="center"/>
          </w:tcPr>
          <w:p>
            <w:pPr>
              <w:jc w:val="center"/>
            </w:pPr>
            <w:r>
              <w:t>68.02</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3004</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70.48</w:t>
            </w:r>
          </w:p>
        </w:tc>
        <w:tc>
          <w:tcPr>
            <w:gridSpan w:val="2"/>
            <w:vAlign w:val="center"/>
          </w:tcPr>
          <w:p>
            <w:pPr>
              <w:jc w:val="center"/>
            </w:pPr>
            <w:r>
              <w:t>69.22</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3003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145.82</w:t>
            </w:r>
          </w:p>
        </w:tc>
        <w:tc>
          <w:tcPr>
            <w:gridSpan w:val="2"/>
            <w:vAlign w:val="center"/>
          </w:tcPr>
          <w:p>
            <w:pPr>
              <w:jc w:val="center"/>
            </w:pPr>
            <w:r>
              <w:t>145.82</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3002</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157.00</w:t>
            </w:r>
          </w:p>
        </w:tc>
        <w:tc>
          <w:tcPr>
            <w:gridSpan w:val="2"/>
            <w:vAlign w:val="center"/>
          </w:tcPr>
          <w:p>
            <w:pPr>
              <w:jc w:val="center"/>
            </w:pPr>
            <w:r>
              <w:t>155.97</w:t>
            </w:r>
          </w:p>
        </w:tc>
        <w:tc>
          <w:tcPr>
            <w:gridSpan w:val="2"/>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3001</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252.94</w:t>
            </w:r>
          </w:p>
        </w:tc>
        <w:tc>
          <w:tcPr>
            <w:gridSpan w:val="2"/>
            <w:vAlign w:val="center"/>
          </w:tcPr>
          <w:p>
            <w:pPr>
              <w:jc w:val="center"/>
            </w:pPr>
            <w:r>
              <w:t>251.93</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gridSpan w:val="2"/>
            <w:vAlign w:val="center"/>
          </w:tcPr>
          <w:p>
            <w:pPr>
              <w:jc w:val="center"/>
            </w:pPr>
            <w:r>
              <w:t>4017</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67.66</w:t>
            </w:r>
          </w:p>
        </w:tc>
        <w:tc>
          <w:tcPr>
            <w:gridSpan w:val="2"/>
            <w:vAlign w:val="center"/>
          </w:tcPr>
          <w:p>
            <w:pPr>
              <w:jc w:val="center"/>
            </w:pPr>
            <w:r>
              <w:t>67.41</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4016</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68.02</w:t>
            </w:r>
          </w:p>
        </w:tc>
        <w:tc>
          <w:tcPr>
            <w:gridSpan w:val="2"/>
            <w:vAlign w:val="center"/>
          </w:tcPr>
          <w:p>
            <w:pPr>
              <w:jc w:val="center"/>
            </w:pPr>
            <w:r>
              <w:t>68.02</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4015</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68.10</w:t>
            </w:r>
          </w:p>
        </w:tc>
        <w:tc>
          <w:tcPr>
            <w:gridSpan w:val="2"/>
            <w:vAlign w:val="center"/>
          </w:tcPr>
          <w:p>
            <w:pPr>
              <w:jc w:val="center"/>
            </w:pPr>
            <w:r>
              <w:t>68.10</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4014</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4013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4012</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4011</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71.14</w:t>
            </w:r>
          </w:p>
        </w:tc>
        <w:tc>
          <w:tcPr>
            <w:gridSpan w:val="2"/>
            <w:vAlign w:val="center"/>
          </w:tcPr>
          <w:p>
            <w:pPr>
              <w:jc w:val="center"/>
            </w:pPr>
            <w:r>
              <w:t>71.14</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4010</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72.18</w:t>
            </w:r>
          </w:p>
        </w:tc>
        <w:tc>
          <w:tcPr>
            <w:gridSpan w:val="2"/>
            <w:vAlign w:val="center"/>
          </w:tcPr>
          <w:p>
            <w:pPr>
              <w:jc w:val="center"/>
            </w:pPr>
            <w:r>
              <w:t>70.42</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4009</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86.02</w:t>
            </w:r>
          </w:p>
        </w:tc>
        <w:tc>
          <w:tcPr>
            <w:gridSpan w:val="2"/>
            <w:vAlign w:val="center"/>
          </w:tcPr>
          <w:p>
            <w:pPr>
              <w:jc w:val="center"/>
            </w:pPr>
            <w:r>
              <w:t>82.86</w:t>
            </w:r>
          </w:p>
        </w:tc>
        <w:tc>
          <w:tcPr>
            <w:gridSpan w:val="2"/>
            <w:vAlign w:val="center"/>
          </w:tcPr>
          <w:p>
            <w:pPr>
              <w:jc w:val="center"/>
            </w:pPr>
            <w:r>
              <w:t>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4008</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107.38</w:t>
            </w:r>
          </w:p>
        </w:tc>
        <w:tc>
          <w:tcPr>
            <w:gridSpan w:val="2"/>
            <w:vAlign w:val="center"/>
          </w:tcPr>
          <w:p>
            <w:pPr>
              <w:jc w:val="center"/>
            </w:pPr>
            <w:r>
              <w:t>107.38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4007</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107.42</w:t>
            </w:r>
          </w:p>
        </w:tc>
        <w:tc>
          <w:tcPr>
            <w:gridSpan w:val="2"/>
            <w:vAlign w:val="center"/>
          </w:tcPr>
          <w:p>
            <w:pPr>
              <w:jc w:val="center"/>
            </w:pPr>
            <w:r>
              <w:t>104.35</w:t>
            </w:r>
          </w:p>
        </w:tc>
        <w:tc>
          <w:tcPr>
            <w:gridSpan w:val="2"/>
            <w:vAlign w:val="center"/>
          </w:tcPr>
          <w:p>
            <w:pPr>
              <w:jc w:val="center"/>
            </w:pPr>
            <w: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4006</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108.98</w:t>
            </w:r>
          </w:p>
        </w:tc>
        <w:tc>
          <w:tcPr>
            <w:gridSpan w:val="2"/>
            <w:vAlign w:val="center"/>
          </w:tcPr>
          <w:p>
            <w:pPr>
              <w:jc w:val="center"/>
            </w:pPr>
            <w:r>
              <w:t>106.11</w:t>
            </w:r>
          </w:p>
        </w:tc>
        <w:tc>
          <w:tcPr>
            <w:gridSpan w:val="2"/>
            <w:vAlign w:val="center"/>
          </w:tcPr>
          <w:p>
            <w:pPr>
              <w:jc w:val="center"/>
            </w:pPr>
            <w: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4005</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109.18</w:t>
            </w:r>
          </w:p>
        </w:tc>
        <w:tc>
          <w:tcPr>
            <w:gridSpan w:val="2"/>
            <w:vAlign w:val="center"/>
          </w:tcPr>
          <w:p>
            <w:pPr>
              <w:jc w:val="center"/>
            </w:pPr>
            <w:r>
              <w:t>109.18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4004</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109.88</w:t>
            </w:r>
          </w:p>
        </w:tc>
        <w:tc>
          <w:tcPr>
            <w:gridSpan w:val="2"/>
            <w:vAlign w:val="center"/>
          </w:tcPr>
          <w:p>
            <w:pPr>
              <w:jc w:val="center"/>
            </w:pPr>
            <w:r>
              <w:t>109.88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4003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113.24</w:t>
            </w:r>
          </w:p>
        </w:tc>
        <w:tc>
          <w:tcPr>
            <w:gridSpan w:val="2"/>
            <w:vAlign w:val="center"/>
          </w:tcPr>
          <w:p>
            <w:pPr>
              <w:jc w:val="center"/>
            </w:pPr>
            <w:r>
              <w:t>113.24</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gridSpan w:val="2"/>
            <w:vAlign w:val="center"/>
          </w:tcPr>
          <w:p>
            <w:pPr>
              <w:jc w:val="center"/>
            </w:pPr>
            <w:r>
              <w:t>5021</w:t>
            </w:r>
          </w:p>
        </w:tc>
        <w:tc>
          <w:tcPr>
            <w:gridSpan w:val="2"/>
            <w:vAlign w:val="center"/>
          </w:tcPr>
          <w:p>
            <w:pPr>
              <w:jc w:val="center"/>
            </w:pPr>
            <w:r>
              <w:t>档案室</w:t>
            </w:r>
          </w:p>
        </w:tc>
        <w:tc>
          <w:tcPr>
            <w:vAlign w:val="center"/>
          </w:tcPr>
          <w:p>
            <w:pPr>
              <w:jc w:val="center"/>
            </w:pPr>
            <w:r>
              <w:t>IV</w:t>
            </w:r>
          </w:p>
        </w:tc>
        <w:tc>
          <w:tcPr>
            <w:gridSpan w:val="2"/>
            <w:vAlign w:val="center"/>
          </w:tcPr>
          <w:p>
            <w:pPr>
              <w:jc w:val="center"/>
            </w:pPr>
            <w:r>
              <w:t>侧面</w:t>
            </w:r>
          </w:p>
        </w:tc>
        <w:tc>
          <w:tcPr>
            <w:gridSpan w:val="2"/>
            <w:vAlign w:val="center"/>
          </w:tcPr>
          <w:p>
            <w:pPr>
              <w:jc w:val="center"/>
            </w:pPr>
            <w:r>
              <w:t>35.26</w:t>
            </w:r>
          </w:p>
        </w:tc>
        <w:tc>
          <w:tcPr>
            <w:gridSpan w:val="2"/>
            <w:vAlign w:val="center"/>
          </w:tcPr>
          <w:p>
            <w:pPr>
              <w:jc w:val="center"/>
            </w:pPr>
            <w:r>
              <w:t>31.59</w:t>
            </w:r>
          </w:p>
        </w:tc>
        <w:tc>
          <w:tcPr>
            <w:gridSpan w:val="2"/>
            <w:vAlign w:val="center"/>
          </w:tcPr>
          <w:p>
            <w:pPr>
              <w:jc w:val="center"/>
            </w:pPr>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5020</w:t>
            </w:r>
          </w:p>
        </w:tc>
        <w:tc>
          <w:tcPr>
            <w:gridSpan w:val="2"/>
            <w:vAlign w:val="center"/>
          </w:tcPr>
          <w:p>
            <w:pPr>
              <w:jc w:val="center"/>
            </w:pPr>
            <w:r>
              <w:t>办公室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35.26</w:t>
            </w:r>
          </w:p>
        </w:tc>
        <w:tc>
          <w:tcPr>
            <w:gridSpan w:val="2"/>
            <w:vAlign w:val="center"/>
          </w:tcPr>
          <w:p>
            <w:pPr>
              <w:jc w:val="center"/>
            </w:pPr>
            <w:r>
              <w:t>34.53</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5019</w:t>
            </w:r>
          </w:p>
        </w:tc>
        <w:tc>
          <w:tcPr>
            <w:gridSpan w:val="2"/>
            <w:vAlign w:val="center"/>
          </w:tcPr>
          <w:p>
            <w:pPr>
              <w:jc w:val="center"/>
            </w:pPr>
            <w:r>
              <w:t>办公室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35.26</w:t>
            </w:r>
          </w:p>
        </w:tc>
        <w:tc>
          <w:tcPr>
            <w:gridSpan w:val="2"/>
            <w:vAlign w:val="center"/>
          </w:tcPr>
          <w:p>
            <w:pPr>
              <w:jc w:val="center"/>
            </w:pPr>
            <w:r>
              <w:t>34.77</w:t>
            </w:r>
          </w:p>
        </w:tc>
        <w:tc>
          <w:tcPr>
            <w:gridSpan w:val="2"/>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5018</w:t>
            </w:r>
          </w:p>
        </w:tc>
        <w:tc>
          <w:tcPr>
            <w:gridSpan w:val="2"/>
            <w:vAlign w:val="center"/>
          </w:tcPr>
          <w:p>
            <w:pPr>
              <w:jc w:val="center"/>
            </w:pPr>
            <w:r>
              <w:t>办公室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35.26</w:t>
            </w:r>
          </w:p>
        </w:tc>
        <w:tc>
          <w:tcPr>
            <w:gridSpan w:val="2"/>
            <w:vAlign w:val="center"/>
          </w:tcPr>
          <w:p>
            <w:pPr>
              <w:jc w:val="center"/>
            </w:pPr>
            <w:r>
              <w:t>34.04</w:t>
            </w:r>
          </w:p>
        </w:tc>
        <w:tc>
          <w:tcPr>
            <w:gridSpan w:val="2"/>
            <w:vAlign w:val="center"/>
          </w:tcPr>
          <w:p>
            <w:pPr>
              <w:jc w:val="center"/>
            </w:pPr>
            <w: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5017</w:t>
            </w:r>
          </w:p>
        </w:tc>
        <w:tc>
          <w:tcPr>
            <w:gridSpan w:val="2"/>
            <w:vAlign w:val="center"/>
          </w:tcPr>
          <w:p>
            <w:pPr>
              <w:jc w:val="center"/>
            </w:pPr>
            <w:r>
              <w:t>办公室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35.26</w:t>
            </w:r>
          </w:p>
        </w:tc>
        <w:tc>
          <w:tcPr>
            <w:gridSpan w:val="2"/>
            <w:vAlign w:val="center"/>
          </w:tcPr>
          <w:p>
            <w:pPr>
              <w:jc w:val="center"/>
            </w:pPr>
            <w:r>
              <w:t>33.30</w:t>
            </w:r>
          </w:p>
        </w:tc>
        <w:tc>
          <w:tcPr>
            <w:gridSpan w:val="2"/>
            <w:vAlign w:val="center"/>
          </w:tcPr>
          <w:p>
            <w:pPr>
              <w:jc w:val="center"/>
            </w:pPr>
            <w:r>
              <w:t>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5016</w:t>
            </w:r>
          </w:p>
        </w:tc>
        <w:tc>
          <w:tcPr>
            <w:gridSpan w:val="2"/>
            <w:vAlign w:val="center"/>
          </w:tcPr>
          <w:p>
            <w:pPr>
              <w:jc w:val="center"/>
            </w:pPr>
            <w:r>
              <w:t>档案室</w:t>
            </w:r>
          </w:p>
        </w:tc>
        <w:tc>
          <w:tcPr>
            <w:vAlign w:val="center"/>
          </w:tcPr>
          <w:p>
            <w:pPr>
              <w:jc w:val="center"/>
            </w:pPr>
            <w:r>
              <w:t>IV</w:t>
            </w:r>
          </w:p>
        </w:tc>
        <w:tc>
          <w:tcPr>
            <w:gridSpan w:val="2"/>
            <w:vAlign w:val="center"/>
          </w:tcPr>
          <w:p>
            <w:pPr>
              <w:jc w:val="center"/>
            </w:pPr>
            <w:r>
              <w:t>侧面</w:t>
            </w:r>
          </w:p>
        </w:tc>
        <w:tc>
          <w:tcPr>
            <w:gridSpan w:val="2"/>
            <w:vAlign w:val="center"/>
          </w:tcPr>
          <w:p>
            <w:pPr>
              <w:jc w:val="center"/>
            </w:pPr>
            <w:r>
              <w:t>36.90</w:t>
            </w:r>
          </w:p>
        </w:tc>
        <w:tc>
          <w:tcPr>
            <w:gridSpan w:val="2"/>
            <w:vAlign w:val="center"/>
          </w:tcPr>
          <w:p>
            <w:pPr>
              <w:jc w:val="center"/>
            </w:pPr>
            <w:r>
              <w:t>34.85</w:t>
            </w:r>
          </w:p>
        </w:tc>
        <w:tc>
          <w:tcPr>
            <w:gridSpan w:val="2"/>
            <w:vAlign w:val="center"/>
          </w:tcPr>
          <w:p>
            <w:pPr>
              <w:jc w:val="center"/>
            </w:pPr>
            <w:r>
              <w:t>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5015</w:t>
            </w:r>
          </w:p>
        </w:tc>
        <w:tc>
          <w:tcPr>
            <w:gridSpan w:val="2"/>
            <w:vAlign w:val="center"/>
          </w:tcPr>
          <w:p>
            <w:pPr>
              <w:jc w:val="center"/>
            </w:pPr>
            <w:r>
              <w:t>办公室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48.38</w:t>
            </w:r>
          </w:p>
        </w:tc>
        <w:tc>
          <w:tcPr>
            <w:gridSpan w:val="2"/>
            <w:vAlign w:val="center"/>
          </w:tcPr>
          <w:p>
            <w:pPr>
              <w:jc w:val="center"/>
            </w:pPr>
            <w:r>
              <w:t>47.88</w:t>
            </w:r>
          </w:p>
        </w:tc>
        <w:tc>
          <w:tcPr>
            <w:gridSpan w:val="2"/>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67.66</w:t>
            </w:r>
          </w:p>
        </w:tc>
        <w:tc>
          <w:tcPr>
            <w:gridSpan w:val="2"/>
            <w:vAlign w:val="center"/>
          </w:tcPr>
          <w:p>
            <w:pPr>
              <w:jc w:val="center"/>
            </w:pPr>
            <w:r>
              <w:t>67.42</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5012</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5011</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5010</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5009</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5008</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69.70</w:t>
            </w:r>
          </w:p>
        </w:tc>
        <w:tc>
          <w:tcPr>
            <w:gridSpan w:val="2"/>
            <w:vAlign w:val="center"/>
          </w:tcPr>
          <w:p>
            <w:pPr>
              <w:jc w:val="center"/>
            </w:pPr>
            <w:r>
              <w:t>69.70</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5007</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69.78</w:t>
            </w:r>
          </w:p>
        </w:tc>
        <w:tc>
          <w:tcPr>
            <w:gridSpan w:val="2"/>
            <w:vAlign w:val="center"/>
          </w:tcPr>
          <w:p>
            <w:pPr>
              <w:jc w:val="center"/>
            </w:pPr>
            <w:r>
              <w:t>68.27</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5006</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72.98</w:t>
            </w:r>
          </w:p>
        </w:tc>
        <w:tc>
          <w:tcPr>
            <w:gridSpan w:val="2"/>
            <w:vAlign w:val="center"/>
          </w:tcPr>
          <w:p>
            <w:pPr>
              <w:jc w:val="center"/>
            </w:pPr>
            <w:r>
              <w:t>72.98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5004</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109.18</w:t>
            </w:r>
          </w:p>
        </w:tc>
        <w:tc>
          <w:tcPr>
            <w:gridSpan w:val="2"/>
            <w:vAlign w:val="center"/>
          </w:tcPr>
          <w:p>
            <w:pPr>
              <w:jc w:val="center"/>
            </w:pPr>
            <w:r>
              <w:t>104.81</w:t>
            </w:r>
          </w:p>
        </w:tc>
        <w:tc>
          <w:tcPr>
            <w:gridSpan w:val="2"/>
            <w:vAlign w:val="center"/>
          </w:tcPr>
          <w:p>
            <w:pPr>
              <w:jc w:val="center"/>
            </w:pPr>
            <w:r>
              <w:t>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gridSpan w:val="2"/>
            <w:vAlign w:val="center"/>
          </w:tcPr>
          <w:p>
            <w:pPr>
              <w:jc w:val="center"/>
            </w:pPr>
            <w:r>
              <w:t>6001</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105.40</w:t>
            </w:r>
          </w:p>
        </w:tc>
        <w:tc>
          <w:tcPr>
            <w:gridSpan w:val="2"/>
            <w:vAlign w:val="center"/>
          </w:tcPr>
          <w:p>
            <w:pPr>
              <w:jc w:val="center"/>
            </w:pPr>
            <w:r>
              <w:t>105.40</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6002</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69.78</w:t>
            </w:r>
          </w:p>
        </w:tc>
        <w:tc>
          <w:tcPr>
            <w:gridSpan w:val="2"/>
            <w:vAlign w:val="center"/>
          </w:tcPr>
          <w:p>
            <w:pPr>
              <w:jc w:val="center"/>
            </w:pPr>
            <w:r>
              <w:t>69.78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6003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142.48</w:t>
            </w:r>
          </w:p>
        </w:tc>
        <w:tc>
          <w:tcPr>
            <w:gridSpan w:val="2"/>
            <w:vAlign w:val="center"/>
          </w:tcPr>
          <w:p>
            <w:pPr>
              <w:jc w:val="center"/>
            </w:pPr>
            <w:r>
              <w:t>142.48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6012</w:t>
            </w:r>
          </w:p>
        </w:tc>
        <w:tc>
          <w:tcPr>
            <w:gridSpan w:val="2"/>
            <w:vAlign w:val="center"/>
          </w:tcPr>
          <w:p>
            <w:pPr>
              <w:jc w:val="center"/>
            </w:pPr>
            <w:r>
              <w:t>档案室</w:t>
            </w:r>
          </w:p>
        </w:tc>
        <w:tc>
          <w:tcPr>
            <w:vAlign w:val="center"/>
          </w:tcPr>
          <w:p>
            <w:pPr>
              <w:jc w:val="center"/>
            </w:pPr>
            <w:r>
              <w:t>IV</w:t>
            </w:r>
          </w:p>
        </w:tc>
        <w:tc>
          <w:tcPr>
            <w:gridSpan w:val="2"/>
            <w:vAlign w:val="center"/>
          </w:tcPr>
          <w:p>
            <w:pPr>
              <w:jc w:val="center"/>
            </w:pPr>
            <w:r>
              <w:t>侧面</w:t>
            </w:r>
          </w:p>
        </w:tc>
        <w:tc>
          <w:tcPr>
            <w:gridSpan w:val="2"/>
            <w:vAlign w:val="center"/>
          </w:tcPr>
          <w:p>
            <w:pPr>
              <w:jc w:val="center"/>
            </w:pPr>
            <w:r>
              <w:t>48.38</w:t>
            </w:r>
          </w:p>
        </w:tc>
        <w:tc>
          <w:tcPr>
            <w:gridSpan w:val="2"/>
            <w:vAlign w:val="center"/>
          </w:tcPr>
          <w:p>
            <w:pPr>
              <w:jc w:val="center"/>
            </w:pPr>
            <w:r>
              <w:t>0.00</w:t>
            </w:r>
          </w:p>
        </w:tc>
        <w:tc>
          <w:tcPr>
            <w:gridSpan w:val="2"/>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6010</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67.79</w:t>
            </w:r>
          </w:p>
        </w:tc>
        <w:tc>
          <w:tcPr>
            <w:gridSpan w:val="2"/>
            <w:vAlign w:val="center"/>
          </w:tcPr>
          <w:p>
            <w:pPr>
              <w:jc w:val="center"/>
            </w:pPr>
            <w:r>
              <w:t>67.55</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6009</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6008</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6007</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6006</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68.40</w:t>
            </w:r>
          </w:p>
        </w:tc>
        <w:tc>
          <w:tcPr>
            <w:gridSpan w:val="2"/>
            <w:vAlign w:val="center"/>
          </w:tcPr>
          <w:p>
            <w:pPr>
              <w:jc w:val="center"/>
            </w:pPr>
            <w:r>
              <w:t>66.85</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6005</w:t>
            </w:r>
          </w:p>
        </w:tc>
        <w:tc>
          <w:tcPr>
            <w:gridSpan w:val="2"/>
            <w:vAlign w:val="center"/>
          </w:tcPr>
          <w:p>
            <w:pPr>
              <w:jc w:val="center"/>
            </w:pPr>
            <w:r>
              <w:t>档案室</w:t>
            </w:r>
          </w:p>
        </w:tc>
        <w:tc>
          <w:tcPr>
            <w:vAlign w:val="center"/>
          </w:tcPr>
          <w:p>
            <w:pPr>
              <w:jc w:val="center"/>
            </w:pPr>
            <w:r>
              <w:t>IV</w:t>
            </w:r>
          </w:p>
        </w:tc>
        <w:tc>
          <w:tcPr>
            <w:gridSpan w:val="2"/>
            <w:vAlign w:val="center"/>
          </w:tcPr>
          <w:p>
            <w:pPr>
              <w:jc w:val="center"/>
            </w:pPr>
            <w:r>
              <w:t>侧面</w:t>
            </w:r>
          </w:p>
        </w:tc>
        <w:tc>
          <w:tcPr>
            <w:gridSpan w:val="2"/>
            <w:vAlign w:val="center"/>
          </w:tcPr>
          <w:p>
            <w:pPr>
              <w:jc w:val="center"/>
            </w:pPr>
            <w:r>
              <w:t>107.42</w:t>
            </w:r>
          </w:p>
        </w:tc>
        <w:tc>
          <w:tcPr>
            <w:gridSpan w:val="2"/>
            <w:vAlign w:val="center"/>
          </w:tcPr>
          <w:p>
            <w:pPr>
              <w:jc w:val="center"/>
            </w:pPr>
            <w:r>
              <w:t>0.00</w:t>
            </w:r>
          </w:p>
        </w:tc>
        <w:tc>
          <w:tcPr>
            <w:gridSpan w:val="2"/>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6004</w:t>
            </w:r>
          </w:p>
        </w:tc>
        <w:tc>
          <w:tcPr>
            <w:gridSpan w:val="2"/>
            <w:vAlign w:val="center"/>
          </w:tcPr>
          <w:p>
            <w:pPr>
              <w:jc w:val="center"/>
            </w:pPr>
            <w:r>
              <w:t>档案室</w:t>
            </w:r>
          </w:p>
        </w:tc>
        <w:tc>
          <w:tcPr>
            <w:vAlign w:val="center"/>
          </w:tcPr>
          <w:p>
            <w:pPr>
              <w:jc w:val="center"/>
            </w:pPr>
            <w:r>
              <w:t>IV</w:t>
            </w:r>
          </w:p>
        </w:tc>
        <w:tc>
          <w:tcPr>
            <w:gridSpan w:val="2"/>
            <w:vAlign w:val="center"/>
          </w:tcPr>
          <w:p>
            <w:pPr>
              <w:jc w:val="center"/>
            </w:pPr>
            <w:r>
              <w:t>侧面</w:t>
            </w:r>
          </w:p>
        </w:tc>
        <w:tc>
          <w:tcPr>
            <w:gridSpan w:val="2"/>
            <w:vAlign w:val="center"/>
          </w:tcPr>
          <w:p>
            <w:pPr>
              <w:jc w:val="center"/>
            </w:pPr>
            <w:r>
              <w:t>108.98</w:t>
            </w:r>
          </w:p>
        </w:tc>
        <w:tc>
          <w:tcPr>
            <w:gridSpan w:val="2"/>
            <w:vAlign w:val="center"/>
          </w:tcPr>
          <w:p>
            <w:pPr>
              <w:jc w:val="center"/>
            </w:pPr>
            <w:r>
              <w:t>4.78</w:t>
            </w:r>
          </w:p>
        </w:tc>
        <w:tc>
          <w:tcPr>
            <w:gridSpan w:val="2"/>
            <w:vAlign w:val="center"/>
          </w:tcPr>
          <w:p>
            <w:pPr>
              <w:jc w:val="center"/>
            </w:pPr>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gridSpan w:val="2"/>
            <w:vAlign w:val="center"/>
          </w:tcPr>
          <w:p>
            <w:pPr>
              <w:jc w:val="center"/>
            </w:pPr>
            <w:r>
              <w:t>7006</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67.18</w:t>
            </w:r>
          </w:p>
        </w:tc>
        <w:tc>
          <w:tcPr>
            <w:gridSpan w:val="2"/>
            <w:vAlign w:val="center"/>
          </w:tcPr>
          <w:p>
            <w:pPr>
              <w:jc w:val="center"/>
            </w:pPr>
            <w:r>
              <w:t>66.94</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7005</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67.18</w:t>
            </w:r>
          </w:p>
        </w:tc>
        <w:tc>
          <w:tcPr>
            <w:gridSpan w:val="2"/>
            <w:vAlign w:val="center"/>
          </w:tcPr>
          <w:p>
            <w:pPr>
              <w:jc w:val="center"/>
            </w:pPr>
            <w:r>
              <w:t>67.18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7004</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67.18</w:t>
            </w:r>
          </w:p>
        </w:tc>
        <w:tc>
          <w:tcPr>
            <w:gridSpan w:val="2"/>
            <w:vAlign w:val="center"/>
          </w:tcPr>
          <w:p>
            <w:pPr>
              <w:jc w:val="center"/>
            </w:pPr>
            <w:r>
              <w:t>66.94</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7003</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67.18</w:t>
            </w:r>
          </w:p>
        </w:tc>
        <w:tc>
          <w:tcPr>
            <w:gridSpan w:val="2"/>
            <w:vAlign w:val="center"/>
          </w:tcPr>
          <w:p>
            <w:pPr>
              <w:jc w:val="center"/>
            </w:pPr>
            <w:r>
              <w:t>67.18</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7002</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68.56</w:t>
            </w:r>
          </w:p>
        </w:tc>
        <w:tc>
          <w:tcPr>
            <w:gridSpan w:val="2"/>
            <w:vAlign w:val="center"/>
          </w:tcPr>
          <w:p>
            <w:pPr>
              <w:jc w:val="center"/>
            </w:pPr>
            <w:r>
              <w:t>67.07</w:t>
            </w:r>
          </w:p>
        </w:tc>
        <w:tc>
          <w:tcPr>
            <w:gridSpan w:val="2"/>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gridSpan w:val="2"/>
            <w:vAlign w:val="center"/>
          </w:tcPr>
          <w:p>
            <w:pPr>
              <w:jc w:val="center"/>
            </w:pPr>
            <w:r>
              <w:t>7001</w:t>
            </w:r>
          </w:p>
        </w:tc>
        <w:tc>
          <w:tcPr>
            <w:gridSpan w:val="2"/>
            <w:vAlign w:val="center"/>
          </w:tcPr>
          <w:p>
            <w:pPr>
              <w:jc w:val="center"/>
            </w:pPr>
            <w:r>
              <w:t>普通教室</w:t>
            </w:r>
          </w:p>
        </w:tc>
        <w:tc>
          <w:tcPr>
            <w:vAlign w:val="center"/>
          </w:tcPr>
          <w:p>
            <w:pPr>
              <w:jc w:val="center"/>
            </w:pPr>
            <w:r>
              <w:t>III</w:t>
            </w:r>
          </w:p>
        </w:tc>
        <w:tc>
          <w:tcPr>
            <w:gridSpan w:val="2"/>
            <w:vAlign w:val="center"/>
          </w:tcPr>
          <w:p>
            <w:pPr>
              <w:jc w:val="center"/>
            </w:pPr>
            <w:r>
              <w:t>侧面</w:t>
            </w:r>
          </w:p>
        </w:tc>
        <w:tc>
          <w:tcPr>
            <w:gridSpan w:val="2"/>
            <w:vAlign w:val="center"/>
          </w:tcPr>
          <w:p>
            <w:pPr>
              <w:jc w:val="center"/>
            </w:pPr>
            <w:r>
              <w:t>177.95</w:t>
            </w:r>
          </w:p>
        </w:tc>
        <w:tc>
          <w:tcPr>
            <w:gridSpan w:val="2"/>
            <w:vAlign w:val="center"/>
          </w:tcPr>
          <w:p>
            <w:pPr>
              <w:jc w:val="center"/>
            </w:pPr>
            <w:r>
              <w:t>177.95</w:t>
            </w:r>
          </w:p>
        </w:tc>
        <w:tc>
          <w:tcPr>
            <w:gridSpan w:val="2"/>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gridSpan w:val="2"/>
            <w:shd w:val="clear" w:color="auto" w:fill="E6E6E6"/>
            <w:vAlign w:val="center"/>
          </w:tcPr>
          <w:p>
            <w:pPr>
              <w:jc w:val="center"/>
            </w:pPr>
            <w:r>
              <w:t>房间类型</w:t>
            </w:r>
          </w:p>
        </w:tc>
        <w:tc>
          <w:tcPr>
            <w:gridSpan w:val="2"/>
            <w:shd w:val="clear" w:color="auto" w:fill="E6E6E6"/>
            <w:vAlign w:val="center"/>
          </w:tcPr>
          <w:p>
            <w:pPr>
              <w:jc w:val="center"/>
            </w:pPr>
            <w:r>
              <w:t>采光等级</w:t>
            </w:r>
          </w:p>
        </w:tc>
        <w:tc>
          <w:tcPr>
            <w:gridSpan w:val="3"/>
            <w:shd w:val="clear" w:color="auto" w:fill="E6E6E6"/>
            <w:vAlign w:val="center"/>
          </w:tcPr>
          <w:p>
            <w:pPr>
              <w:jc w:val="center"/>
            </w:pPr>
            <w:r>
              <w:t>采光类型</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可看到景观</w:t>
            </w:r>
            <w:r>
              <w:br w:type="textWrapping"/>
            </w:r>
            <w:r>
              <w:t>面积(m2)</w:t>
            </w:r>
          </w:p>
        </w:tc>
        <w:tc>
          <w:tcPr>
            <w:gridSpan w:val="2"/>
            <w:shd w:val="clear" w:color="auto" w:fill="E6E6E6"/>
            <w:vAlign w:val="center"/>
          </w:tcPr>
          <w:p>
            <w:pPr>
              <w:jc w:val="center"/>
            </w:pPr>
            <w:r>
              <w:t>面积比例</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gridSpan w:val="2"/>
            <w:vAlign w:val="center"/>
          </w:tcPr>
          <w:p>
            <w:r>
              <w:t>普通教室</w:t>
            </w:r>
          </w:p>
        </w:tc>
        <w:tc>
          <w:tcPr>
            <w:gridSpan w:val="2"/>
            <w:vAlign w:val="center"/>
          </w:tcPr>
          <w:p>
            <w:r>
              <w:t>III</w:t>
            </w:r>
          </w:p>
        </w:tc>
        <w:tc>
          <w:tcPr>
            <w:gridSpan w:val="3"/>
            <w:vAlign w:val="center"/>
          </w:tcPr>
          <w:p>
            <w:r>
              <w:t>侧面</w:t>
            </w:r>
          </w:p>
        </w:tc>
        <w:tc>
          <w:tcPr>
            <w:gridSpan w:val="2"/>
            <w:vAlign w:val="center"/>
          </w:tcPr>
          <w:p>
            <w:r>
              <w:t>5885.40</w:t>
            </w:r>
          </w:p>
        </w:tc>
        <w:tc>
          <w:tcPr>
            <w:gridSpan w:val="2"/>
            <w:vAlign w:val="center"/>
          </w:tcPr>
          <w:p>
            <w:r>
              <w:t>5835.39</w:t>
            </w:r>
          </w:p>
        </w:tc>
        <w:tc>
          <w:tcPr>
            <w:gridSpan w:val="2"/>
            <w:vAlign w:val="center"/>
          </w:tcPr>
          <w:p>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gridSpan w:val="2"/>
            <w:vAlign w:val="center"/>
          </w:tcPr>
          <w:p>
            <w:r>
              <w:t>档案室</w:t>
            </w:r>
          </w:p>
        </w:tc>
        <w:tc>
          <w:tcPr>
            <w:gridSpan w:val="2"/>
            <w:vAlign w:val="center"/>
          </w:tcPr>
          <w:p>
            <w:r>
              <w:t>IV</w:t>
            </w:r>
          </w:p>
        </w:tc>
        <w:tc>
          <w:tcPr>
            <w:gridSpan w:val="3"/>
            <w:vAlign w:val="center"/>
          </w:tcPr>
          <w:p>
            <w:r>
              <w:t>侧面</w:t>
            </w:r>
          </w:p>
        </w:tc>
        <w:tc>
          <w:tcPr>
            <w:gridSpan w:val="2"/>
            <w:vAlign w:val="center"/>
          </w:tcPr>
          <w:p>
            <w:r>
              <w:t>336.94</w:t>
            </w:r>
          </w:p>
        </w:tc>
        <w:tc>
          <w:tcPr>
            <w:gridSpan w:val="2"/>
            <w:vAlign w:val="center"/>
          </w:tcPr>
          <w:p>
            <w:r>
              <w:t>71.22</w:t>
            </w:r>
          </w:p>
        </w:tc>
        <w:tc>
          <w:tcPr>
            <w:gridSpan w:val="2"/>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gridSpan w:val="2"/>
            <w:vAlign w:val="center"/>
          </w:tcPr>
          <w:p>
            <w:r>
              <w:t>办公室</w:t>
            </w:r>
          </w:p>
        </w:tc>
        <w:tc>
          <w:tcPr>
            <w:gridSpan w:val="2"/>
            <w:vAlign w:val="center"/>
          </w:tcPr>
          <w:p>
            <w:r>
              <w:t>III</w:t>
            </w:r>
          </w:p>
        </w:tc>
        <w:tc>
          <w:tcPr>
            <w:gridSpan w:val="3"/>
            <w:vAlign w:val="center"/>
          </w:tcPr>
          <w:p>
            <w:r>
              <w:t>侧面</w:t>
            </w:r>
          </w:p>
        </w:tc>
        <w:tc>
          <w:tcPr>
            <w:gridSpan w:val="2"/>
            <w:vAlign w:val="center"/>
          </w:tcPr>
          <w:p>
            <w:r>
              <w:t>189.42</w:t>
            </w:r>
          </w:p>
        </w:tc>
        <w:tc>
          <w:tcPr>
            <w:gridSpan w:val="2"/>
            <w:vAlign w:val="center"/>
          </w:tcPr>
          <w:p>
            <w:r>
              <w:t>184.51</w:t>
            </w:r>
          </w:p>
        </w:tc>
        <w:tc>
          <w:tcPr>
            <w:gridSpan w:val="2"/>
            <w:vAlign w:val="center"/>
          </w:tcPr>
          <w:p>
            <w: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gridSpan w:val="7"/>
            <w:vAlign w:val="center"/>
          </w:tcPr>
          <w:p>
            <w:r>
              <w:t>总计</w:t>
            </w:r>
          </w:p>
        </w:tc>
        <w:tc>
          <w:tcPr>
            <w:gridSpan w:val="2"/>
            <w:vAlign w:val="center"/>
          </w:tcPr>
          <w:p>
            <w:r>
              <w:t>6411.76</w:t>
            </w:r>
          </w:p>
        </w:tc>
        <w:tc>
          <w:tcPr>
            <w:gridSpan w:val="2"/>
            <w:vAlign w:val="center"/>
          </w:tcPr>
          <w:p>
            <w:r>
              <w:t>6091.12</w:t>
            </w:r>
          </w:p>
        </w:tc>
        <w:tc>
          <w:tcPr>
            <w:gridSpan w:val="2"/>
            <w:vAlign w:val="center"/>
          </w:tcPr>
          <w:p>
            <w:r>
              <w:t>95</w:t>
            </w:r>
          </w:p>
        </w:tc>
      </w:tr>
    </w:tbl>
    <w:p>
      <w:pPr>
        <w:pStyle w:val="3"/>
        <w:ind w:firstLine="420"/>
        <w:rPr>
          <w:lang w:val="en-US"/>
        </w:rPr>
      </w:pPr>
      <w:bookmarkStart w:id="42" w:name="视野率表格"/>
      <w:bookmarkEnd w:id="42"/>
    </w:p>
    <w:p>
      <w:pPr>
        <w:pStyle w:val="3"/>
        <w:ind w:firstLine="0" w:firstLineChars="0"/>
        <w:jc w:val="center"/>
        <w:rPr>
          <w:lang w:val="en-US"/>
        </w:rPr>
      </w:pPr>
    </w:p>
    <w:p>
      <w:pPr>
        <w:pStyle w:val="2"/>
        <w:ind w:left="432" w:hanging="432"/>
      </w:pPr>
      <w:bookmarkStart w:id="43" w:name="_Toc15198"/>
      <w:r>
        <w:rPr>
          <w:rFonts w:hint="eastAsia"/>
        </w:rPr>
        <w:t>视野分析彩图</w:t>
      </w:r>
      <w:bookmarkEnd w:id="43"/>
    </w:p>
    <w:p>
      <w:pPr>
        <w:pStyle w:val="3"/>
        <w:ind w:firstLine="420"/>
        <w:rPr>
          <w:lang w:val="en-US"/>
        </w:rPr>
      </w:pPr>
      <w:r>
        <w:rPr>
          <w:rFonts w:hint="eastAsia"/>
          <w:lang w:val="en-US"/>
        </w:rPr>
        <w:t>视野分析</w:t>
      </w:r>
      <w:r>
        <w:rPr>
          <w:lang w:val="en-US"/>
        </w:rPr>
        <w:t>彩图</w:t>
      </w:r>
      <w:r>
        <w:rPr>
          <w:rFonts w:hint="eastAsia"/>
          <w:lang w:val="en-US"/>
        </w:rPr>
        <w:t>形象直观地反应建筑内各个房间的视野情况，本项目中各楼层中主要功能房间的视野效果</w:t>
      </w:r>
      <w:r>
        <w:rPr>
          <w:lang w:val="en-US"/>
        </w:rPr>
        <w:t>图</w:t>
      </w:r>
      <w:r>
        <w:rPr>
          <w:rFonts w:hint="eastAsia"/>
          <w:lang w:val="en-US"/>
        </w:rPr>
        <w:t>如下所示：</w:t>
      </w:r>
    </w:p>
    <w:p>
      <w:pPr>
        <w:pStyle w:val="3"/>
        <w:ind w:firstLine="360"/>
        <w:jc w:val="center"/>
        <w:rPr>
          <w:rFonts w:ascii="宋体" w:hAnsi="宋体"/>
          <w:sz w:val="18"/>
          <w:szCs w:val="18"/>
          <w:lang w:val="en-US"/>
        </w:rPr>
      </w:pPr>
      <w:bookmarkStart w:id="44" w:name="视野率彩图"/>
      <w:bookmarkEnd w:id="44"/>
    </w:p>
    <w:p>
      <w:pPr>
        <w:pStyle w:val="3"/>
        <w:ind w:firstLine="360"/>
        <w:jc w:val="center"/>
        <w:rPr>
          <w:rFonts w:ascii="宋体" w:hAnsi="宋体"/>
          <w:sz w:val="18"/>
          <w:szCs w:val="18"/>
          <w:lang w:val="en-US"/>
        </w:rPr>
      </w:pPr>
      <w:r>
        <w:drawing>
          <wp:inline distT="0" distB="0" distL="0" distR="0">
            <wp:extent cx="5667375" cy="2752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5667375" cy="2752725"/>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1层</w:t>
      </w:r>
    </w:p>
    <w:p>
      <w:pPr>
        <w:pStyle w:val="3"/>
        <w:ind w:firstLine="360"/>
        <w:jc w:val="center"/>
        <w:rPr>
          <w:rFonts w:ascii="宋体" w:hAnsi="宋体"/>
          <w:sz w:val="18"/>
          <w:szCs w:val="18"/>
          <w:lang w:val="en-US"/>
        </w:rPr>
      </w:pPr>
      <w:r>
        <w:drawing>
          <wp:inline distT="0" distB="0" distL="0" distR="0">
            <wp:extent cx="5667375" cy="2752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2752725"/>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2层</w:t>
      </w:r>
    </w:p>
    <w:p>
      <w:pPr>
        <w:pStyle w:val="3"/>
        <w:ind w:firstLine="360"/>
        <w:jc w:val="center"/>
        <w:rPr>
          <w:rFonts w:ascii="宋体" w:hAnsi="宋体"/>
          <w:sz w:val="18"/>
          <w:szCs w:val="18"/>
          <w:lang w:val="en-US"/>
        </w:rPr>
      </w:pPr>
      <w:r>
        <w:drawing>
          <wp:inline distT="0" distB="0" distL="0" distR="0">
            <wp:extent cx="5667375" cy="33147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3314700"/>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3层</w:t>
      </w:r>
    </w:p>
    <w:p>
      <w:pPr>
        <w:pStyle w:val="3"/>
        <w:ind w:firstLine="360"/>
        <w:jc w:val="center"/>
        <w:rPr>
          <w:rFonts w:ascii="宋体" w:hAnsi="宋体"/>
          <w:sz w:val="18"/>
          <w:szCs w:val="18"/>
          <w:lang w:val="en-US"/>
        </w:rPr>
      </w:pPr>
      <w:r>
        <w:drawing>
          <wp:inline distT="0" distB="0" distL="0" distR="0">
            <wp:extent cx="5667375" cy="32004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3200400"/>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4层</w:t>
      </w:r>
    </w:p>
    <w:p>
      <w:pPr>
        <w:pStyle w:val="3"/>
        <w:ind w:firstLine="360"/>
        <w:jc w:val="center"/>
        <w:rPr>
          <w:rFonts w:ascii="宋体" w:hAnsi="宋体"/>
          <w:sz w:val="18"/>
          <w:szCs w:val="18"/>
          <w:lang w:val="en-US"/>
        </w:rPr>
      </w:pPr>
      <w:r>
        <w:drawing>
          <wp:inline distT="0" distB="0" distL="0" distR="0">
            <wp:extent cx="5667375" cy="3562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3562350"/>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5层</w:t>
      </w:r>
    </w:p>
    <w:p>
      <w:pPr>
        <w:pStyle w:val="3"/>
        <w:ind w:firstLine="360"/>
        <w:jc w:val="center"/>
        <w:rPr>
          <w:rFonts w:ascii="宋体" w:hAnsi="宋体"/>
          <w:sz w:val="18"/>
          <w:szCs w:val="18"/>
          <w:lang w:val="en-US"/>
        </w:rPr>
      </w:pPr>
      <w:r>
        <w:drawing>
          <wp:inline distT="0" distB="0" distL="0" distR="0">
            <wp:extent cx="5667375" cy="2867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4"/>
                    <a:stretch>
                      <a:fillRect/>
                    </a:stretch>
                  </pic:blipFill>
                  <pic:spPr>
                    <a:xfrm>
                      <a:off x="0" y="0"/>
                      <a:ext cx="5667375" cy="2867025"/>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6层</w:t>
      </w:r>
    </w:p>
    <w:p>
      <w:pPr>
        <w:pStyle w:val="3"/>
        <w:ind w:firstLine="360"/>
        <w:jc w:val="center"/>
        <w:rPr>
          <w:rFonts w:ascii="宋体" w:hAnsi="宋体"/>
          <w:sz w:val="18"/>
          <w:szCs w:val="18"/>
          <w:lang w:val="en-US"/>
        </w:rPr>
      </w:pPr>
      <w:r>
        <w:drawing>
          <wp:inline distT="0" distB="0" distL="0" distR="0">
            <wp:extent cx="5667375" cy="30384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5"/>
                    <a:stretch>
                      <a:fillRect/>
                    </a:stretch>
                  </pic:blipFill>
                  <pic:spPr>
                    <a:xfrm>
                      <a:off x="0" y="0"/>
                      <a:ext cx="5667375" cy="3038475"/>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7层</w:t>
      </w:r>
    </w:p>
    <w:p>
      <w:pPr>
        <w:pStyle w:val="3"/>
        <w:ind w:firstLine="360"/>
        <w:jc w:val="center"/>
        <w:rPr>
          <w:rFonts w:ascii="宋体" w:hAnsi="宋体"/>
          <w:sz w:val="18"/>
          <w:szCs w:val="18"/>
          <w:lang w:val="en-US"/>
        </w:rPr>
      </w:pPr>
    </w:p>
    <w:p>
      <w:pPr>
        <w:pStyle w:val="3"/>
        <w:ind w:firstLine="360"/>
        <w:jc w:val="left"/>
        <w:rPr>
          <w:rFonts w:eastAsia="黑体"/>
          <w:kern w:val="2"/>
          <w:sz w:val="18"/>
          <w:szCs w:val="18"/>
          <w:lang w:val="en-US"/>
        </w:rPr>
      </w:pPr>
      <w:r>
        <w:rPr>
          <w:rFonts w:eastAsia="黑体"/>
          <w:kern w:val="2"/>
          <w:sz w:val="18"/>
          <w:szCs w:val="18"/>
          <w:lang w:val="en-US"/>
        </w:rPr>
        <w:t xml:space="preserve">注：1.视野分析面即人眼观察高度取值 1.5米； </w:t>
      </w:r>
    </w:p>
    <w:p>
      <w:pPr>
        <w:pStyle w:val="3"/>
        <w:ind w:firstLine="720" w:firstLineChars="400"/>
        <w:jc w:val="left"/>
        <w:rPr>
          <w:rFonts w:eastAsia="黑体"/>
          <w:kern w:val="2"/>
          <w:sz w:val="18"/>
          <w:szCs w:val="18"/>
          <w:lang w:val="en-US"/>
        </w:rPr>
      </w:pPr>
      <w:r>
        <w:rPr>
          <w:rFonts w:eastAsia="黑体"/>
          <w:kern w:val="2"/>
          <w:sz w:val="18"/>
          <w:szCs w:val="18"/>
          <w:lang w:val="en-US"/>
        </w:rPr>
        <w:t>2.图例颜色代表视野率，蓝色区域为看不到室外景观的区域，距离窗口越近视野率越好；</w:t>
      </w:r>
    </w:p>
    <w:p>
      <w:pPr>
        <w:pStyle w:val="3"/>
        <w:ind w:firstLine="720" w:firstLineChars="400"/>
        <w:jc w:val="left"/>
        <w:rPr>
          <w:rFonts w:eastAsia="黑体"/>
          <w:kern w:val="2"/>
          <w:sz w:val="18"/>
          <w:szCs w:val="18"/>
          <w:lang w:val="en-US"/>
        </w:rPr>
      </w:pPr>
      <w:r>
        <w:rPr>
          <w:rFonts w:eastAsia="黑体"/>
          <w:kern w:val="2"/>
          <w:sz w:val="18"/>
          <w:szCs w:val="18"/>
          <w:lang w:val="en-US"/>
        </w:rPr>
        <w:t>3.主要功能房间上标注的百分比数字代表该房间视野率大于0的面积比例。</w:t>
      </w:r>
    </w:p>
    <w:p>
      <w:pPr>
        <w:pStyle w:val="2"/>
        <w:ind w:left="432" w:hanging="432"/>
      </w:pPr>
      <w:bookmarkStart w:id="45" w:name="_Toc14463"/>
      <w:r>
        <w:rPr>
          <w:rFonts w:hint="eastAsia"/>
        </w:rPr>
        <w:t>评价结论</w:t>
      </w:r>
      <w:bookmarkEnd w:id="45"/>
    </w:p>
    <w:p>
      <w:pPr>
        <w:pStyle w:val="14"/>
        <w:spacing w:line="360" w:lineRule="auto"/>
        <w:ind w:firstLine="420"/>
        <w:rPr>
          <w:rFonts w:ascii="Times New Roman" w:hAnsi="Times New Roman"/>
          <w:sz w:val="21"/>
          <w:szCs w:val="21"/>
        </w:rPr>
      </w:pPr>
      <w:r>
        <w:rPr>
          <w:rFonts w:ascii="Times New Roman" w:hAnsi="Times New Roman"/>
          <w:sz w:val="21"/>
          <w:szCs w:val="21"/>
        </w:rPr>
        <w:t>根据《绿色建筑评价标准》GB/T 50378-2014的8.2.5条款进行以上评价计算，通过计算主要功能房间视野率大于0的面积比例是否达到</w:t>
      </w:r>
      <w:bookmarkStart w:id="46" w:name="良好视野要求2"/>
      <w:r>
        <w:rPr>
          <w:rFonts w:ascii="Times New Roman" w:hAnsi="Times New Roman"/>
          <w:sz w:val="21"/>
          <w:szCs w:val="21"/>
          <w:u w:val="single"/>
        </w:rPr>
        <w:t>70%</w:t>
      </w:r>
      <w:bookmarkEnd w:id="46"/>
      <w:r>
        <w:rPr>
          <w:rFonts w:ascii="Times New Roman" w:hAnsi="Times New Roman"/>
          <w:sz w:val="21"/>
          <w:szCs w:val="21"/>
        </w:rPr>
        <w:t>，判断</w:t>
      </w:r>
      <w:r>
        <w:rPr>
          <w:rFonts w:hint="eastAsia" w:ascii="Times New Roman" w:hAnsi="Times New Roman"/>
          <w:sz w:val="21"/>
          <w:szCs w:val="21"/>
        </w:rPr>
        <w:t>建筑内主要</w:t>
      </w:r>
      <w:r>
        <w:rPr>
          <w:rFonts w:ascii="Times New Roman" w:hAnsi="Times New Roman"/>
          <w:sz w:val="21"/>
          <w:szCs w:val="21"/>
        </w:rPr>
        <w:t>功能房间是否具有良好的视野。本项目视野分析得分，如下：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34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shd w:val="clear" w:color="auto" w:fill="E6E6E6"/>
            <w:vAlign w:val="center"/>
          </w:tcPr>
          <w:p>
            <w:pPr>
              <w:pStyle w:val="14"/>
              <w:spacing w:line="360" w:lineRule="auto"/>
              <w:ind w:firstLine="0" w:firstLineChars="0"/>
              <w:jc w:val="center"/>
              <w:rPr>
                <w:rFonts w:ascii="Times New Roman" w:hAnsi="Times New Roman"/>
                <w:sz w:val="18"/>
                <w:szCs w:val="18"/>
              </w:rPr>
            </w:pPr>
            <w:r>
              <w:rPr>
                <w:rFonts w:ascii="Times New Roman" w:hAnsi="Times New Roman"/>
                <w:sz w:val="18"/>
                <w:szCs w:val="18"/>
              </w:rPr>
              <w:t>主要功能房间总面积</w:t>
            </w:r>
            <w:r>
              <w:rPr>
                <w:rFonts w:ascii="Times New Roman" w:hAnsi="Times New Roman"/>
                <w:kern w:val="0"/>
                <w:sz w:val="18"/>
                <w:szCs w:val="18"/>
              </w:rPr>
              <w:t>（</w:t>
            </w:r>
            <w:r>
              <w:rPr>
                <w:rFonts w:hint="eastAsia" w:ascii="Times New Roman" w:hAnsi="Times New Roman"/>
                <w:kern w:val="0"/>
                <w:sz w:val="18"/>
                <w:szCs w:val="18"/>
              </w:rPr>
              <w:t>m</w:t>
            </w:r>
            <w:r>
              <w:rPr>
                <w:rFonts w:ascii="Times New Roman" w:hAnsi="Times New Roman"/>
                <w:kern w:val="0"/>
                <w:sz w:val="18"/>
                <w:szCs w:val="18"/>
                <w:vertAlign w:val="superscript"/>
              </w:rPr>
              <w:t>2</w:t>
            </w:r>
            <w:r>
              <w:rPr>
                <w:rFonts w:ascii="Times New Roman" w:hAnsi="Times New Roman"/>
                <w:kern w:val="0"/>
                <w:sz w:val="18"/>
                <w:szCs w:val="18"/>
              </w:rPr>
              <w:t>）</w:t>
            </w:r>
          </w:p>
        </w:tc>
        <w:tc>
          <w:tcPr>
            <w:tcW w:w="3420" w:type="dxa"/>
            <w:shd w:val="clear" w:color="auto" w:fill="E6E6E6"/>
            <w:vAlign w:val="center"/>
          </w:tcPr>
          <w:p>
            <w:pPr>
              <w:pStyle w:val="14"/>
              <w:spacing w:line="360" w:lineRule="auto"/>
              <w:ind w:firstLine="0" w:firstLineChars="0"/>
              <w:jc w:val="center"/>
              <w:rPr>
                <w:rFonts w:ascii="Times New Roman" w:hAnsi="Times New Roman"/>
                <w:sz w:val="18"/>
                <w:szCs w:val="18"/>
              </w:rPr>
            </w:pPr>
            <w:r>
              <w:rPr>
                <w:rFonts w:ascii="Times New Roman" w:hAnsi="Times New Roman"/>
                <w:sz w:val="18"/>
                <w:szCs w:val="18"/>
              </w:rPr>
              <w:t>可以看到室外景观的面积</w:t>
            </w:r>
            <w:r>
              <w:rPr>
                <w:rFonts w:ascii="Times New Roman" w:hAnsi="Times New Roman"/>
                <w:kern w:val="0"/>
                <w:sz w:val="18"/>
                <w:szCs w:val="18"/>
              </w:rPr>
              <w:t>（</w:t>
            </w:r>
            <w:r>
              <w:rPr>
                <w:rFonts w:hint="eastAsia" w:ascii="Times New Roman" w:hAnsi="Times New Roman"/>
                <w:kern w:val="0"/>
                <w:sz w:val="18"/>
                <w:szCs w:val="18"/>
              </w:rPr>
              <w:t>m</w:t>
            </w:r>
            <w:r>
              <w:rPr>
                <w:rFonts w:ascii="Times New Roman" w:hAnsi="Times New Roman"/>
                <w:kern w:val="0"/>
                <w:sz w:val="18"/>
                <w:szCs w:val="18"/>
                <w:vertAlign w:val="superscript"/>
              </w:rPr>
              <w:t>2</w:t>
            </w:r>
            <w:r>
              <w:rPr>
                <w:rFonts w:ascii="Times New Roman" w:hAnsi="Times New Roman"/>
                <w:kern w:val="0"/>
                <w:sz w:val="18"/>
                <w:szCs w:val="18"/>
              </w:rPr>
              <w:t>）</w:t>
            </w:r>
          </w:p>
        </w:tc>
        <w:tc>
          <w:tcPr>
            <w:tcW w:w="1980" w:type="dxa"/>
            <w:shd w:val="clear" w:color="auto" w:fill="E6E6E6"/>
            <w:vAlign w:val="center"/>
          </w:tcPr>
          <w:p>
            <w:pPr>
              <w:pStyle w:val="14"/>
              <w:spacing w:line="360" w:lineRule="auto"/>
              <w:ind w:firstLine="0" w:firstLineChars="0"/>
              <w:jc w:val="center"/>
              <w:rPr>
                <w:rFonts w:ascii="Times New Roman" w:hAnsi="Times New Roman"/>
                <w:sz w:val="18"/>
                <w:szCs w:val="18"/>
              </w:rPr>
            </w:pPr>
            <w:r>
              <w:rPr>
                <w:rFonts w:ascii="Times New Roman" w:hAnsi="Times New Roman"/>
                <w:sz w:val="18"/>
                <w:szCs w:val="18"/>
              </w:rPr>
              <w:t>面积比例R</w:t>
            </w:r>
            <w:r>
              <w:rPr>
                <w:rFonts w:ascii="Times New Roman" w:hAnsi="Times New Roman"/>
                <w:sz w:val="18"/>
                <w:szCs w:val="18"/>
                <w:vertAlign w:val="subscript"/>
              </w:rPr>
              <w:t>A</w:t>
            </w:r>
            <w:r>
              <w:rPr>
                <w:rFonts w:ascii="Times New Roman" w:hAnsi="Times New Roman"/>
                <w:sz w:val="18"/>
                <w:szCs w:val="18"/>
              </w:rPr>
              <w:t>（%）</w:t>
            </w:r>
          </w:p>
        </w:tc>
        <w:tc>
          <w:tcPr>
            <w:tcW w:w="1260" w:type="dxa"/>
            <w:shd w:val="clear" w:color="auto" w:fill="E6E6E6"/>
            <w:vAlign w:val="center"/>
          </w:tcPr>
          <w:p>
            <w:pPr>
              <w:pStyle w:val="14"/>
              <w:spacing w:line="360" w:lineRule="auto"/>
              <w:ind w:firstLine="0" w:firstLineChars="0"/>
              <w:jc w:val="center"/>
              <w:rPr>
                <w:rFonts w:ascii="Times New Roman" w:hAnsi="Times New Roman"/>
                <w:sz w:val="18"/>
                <w:szCs w:val="18"/>
              </w:rPr>
            </w:pPr>
            <w:r>
              <w:rPr>
                <w:rFonts w:ascii="Times New Roman" w:hAnsi="Times New Roman"/>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vAlign w:val="center"/>
          </w:tcPr>
          <w:p>
            <w:pPr>
              <w:pStyle w:val="14"/>
              <w:spacing w:line="360" w:lineRule="auto"/>
              <w:ind w:firstLine="0" w:firstLineChars="0"/>
              <w:jc w:val="center"/>
              <w:rPr>
                <w:sz w:val="18"/>
                <w:szCs w:val="18"/>
              </w:rPr>
            </w:pPr>
            <w:bookmarkStart w:id="47" w:name="采光面积"/>
            <w:r>
              <w:rPr>
                <w:rFonts w:hint="eastAsia"/>
                <w:sz w:val="18"/>
                <w:szCs w:val="18"/>
              </w:rPr>
              <w:t>6411.76</w:t>
            </w:r>
            <w:bookmarkEnd w:id="47"/>
          </w:p>
        </w:tc>
        <w:tc>
          <w:tcPr>
            <w:tcW w:w="3420" w:type="dxa"/>
            <w:vAlign w:val="center"/>
          </w:tcPr>
          <w:p>
            <w:pPr>
              <w:pStyle w:val="14"/>
              <w:spacing w:line="360" w:lineRule="auto"/>
              <w:ind w:firstLine="0" w:firstLineChars="0"/>
              <w:jc w:val="center"/>
              <w:rPr>
                <w:sz w:val="18"/>
                <w:szCs w:val="18"/>
              </w:rPr>
            </w:pPr>
            <w:bookmarkStart w:id="48" w:name="达标面积"/>
            <w:r>
              <w:rPr>
                <w:rFonts w:hint="eastAsia"/>
                <w:sz w:val="18"/>
                <w:szCs w:val="18"/>
              </w:rPr>
              <w:t>6091.12</w:t>
            </w:r>
            <w:bookmarkEnd w:id="48"/>
          </w:p>
        </w:tc>
        <w:tc>
          <w:tcPr>
            <w:tcW w:w="1980" w:type="dxa"/>
            <w:vAlign w:val="center"/>
          </w:tcPr>
          <w:p>
            <w:pPr>
              <w:pStyle w:val="14"/>
              <w:spacing w:line="360" w:lineRule="auto"/>
              <w:ind w:firstLine="0" w:firstLineChars="0"/>
              <w:jc w:val="center"/>
              <w:rPr>
                <w:sz w:val="18"/>
                <w:szCs w:val="18"/>
              </w:rPr>
            </w:pPr>
            <w:bookmarkStart w:id="49" w:name="达标率"/>
            <w:r>
              <w:rPr>
                <w:rFonts w:hint="eastAsia"/>
                <w:sz w:val="18"/>
                <w:szCs w:val="18"/>
              </w:rPr>
              <w:t>95</w:t>
            </w:r>
            <w:bookmarkEnd w:id="49"/>
          </w:p>
        </w:tc>
        <w:tc>
          <w:tcPr>
            <w:tcW w:w="1260" w:type="dxa"/>
            <w:vAlign w:val="center"/>
          </w:tcPr>
          <w:p>
            <w:pPr>
              <w:pStyle w:val="14"/>
              <w:spacing w:line="360" w:lineRule="auto"/>
              <w:ind w:firstLine="0" w:firstLineChars="0"/>
              <w:jc w:val="center"/>
              <w:rPr>
                <w:sz w:val="18"/>
                <w:szCs w:val="18"/>
              </w:rPr>
            </w:pPr>
            <w:bookmarkStart w:id="50" w:name="视野率得分"/>
            <w:r>
              <w:rPr>
                <w:rFonts w:hint="eastAsia"/>
                <w:sz w:val="18"/>
                <w:szCs w:val="18"/>
              </w:rPr>
              <w:t>3</w:t>
            </w:r>
            <w:bookmarkEnd w:id="50"/>
          </w:p>
        </w:tc>
      </w:tr>
    </w:tbl>
    <w:p>
      <w:pPr>
        <w:pStyle w:val="3"/>
        <w:spacing w:line="240" w:lineRule="auto"/>
        <w:ind w:firstLine="0" w:firstLineChars="0"/>
        <w:rPr>
          <w:lang w:val="en-US"/>
        </w:rPr>
        <w:sectPr>
          <w:headerReference r:id="rId5" w:type="default"/>
          <w:footerReference r:id="rId6" w:type="default"/>
          <w:pgSz w:w="11906" w:h="16838"/>
          <w:pgMar w:top="1440" w:right="1418" w:bottom="1440" w:left="1418" w:header="851" w:footer="992" w:gutter="0"/>
          <w:cols w:space="425" w:num="1"/>
          <w:docGrid w:type="lines" w:linePitch="312" w:charSpace="0"/>
        </w:sectPr>
      </w:pPr>
    </w:p>
    <w:p>
      <w:pPr>
        <w:pStyle w:val="3"/>
        <w:spacing w:line="240" w:lineRule="auto"/>
        <w:ind w:firstLine="0" w:firstLineChars="0"/>
        <w:rPr>
          <w:b/>
          <w:sz w:val="28"/>
          <w:szCs w:val="28"/>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51" w:name="总平面图"/>
      <w:bookmarkEnd w:id="51"/>
      <w:r>
        <w:drawing>
          <wp:inline distT="0" distB="0" distL="0" distR="0">
            <wp:extent cx="5667375" cy="44005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6"/>
                    <a:stretch>
                      <a:fillRect/>
                    </a:stretch>
                  </pic:blipFill>
                  <pic:spPr>
                    <a:xfrm>
                      <a:off x="0" y="0"/>
                      <a:ext cx="5667375" cy="4400550"/>
                    </a:xfrm>
                    <a:prstGeom prst="rect">
                      <a:avLst/>
                    </a:prstGeom>
                  </pic:spPr>
                </pic:pic>
              </a:graphicData>
            </a:graphic>
          </wp:inline>
        </w:drawing>
      </w:r>
    </w:p>
    <w:p>
      <w:pPr>
        <w:pStyle w:val="3"/>
        <w:spacing w:line="240" w:lineRule="auto"/>
        <w:ind w:firstLine="0" w:firstLineChars="0"/>
        <w:jc w:val="center"/>
        <w:rPr>
          <w:sz w:val="28"/>
          <w:szCs w:val="28"/>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7</w:t>
    </w:r>
    <w:r>
      <w:fldChar w:fldCharType="end"/>
    </w:r>
    <w:r>
      <w:tab/>
    </w:r>
    <w:r>
      <w:t>DALI2018</w:t>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spacing w:line="240" w:lineRule="auto"/>
      <w:jc w:val="left"/>
    </w:pPr>
    <w:r>
      <w:rPr>
        <w:lang w:val="en-US"/>
      </w:rPr>
      <w:pict>
        <v:shape id="_x0000_i1025" o:spt="75" type="#_x0000_t75" style="height:19.9pt;width:76.6pt;" filled="f" o:preferrelative="t" stroked="f" coordsize="21600,21600">
          <v:path/>
          <v:fill on="f" focussize="0,0"/>
          <v:stroke on="f" joinstyle="miter"/>
          <v:imagedata r:id="rId1" o:title=""/>
          <o:lock v:ext="edit" aspectratio="t"/>
          <w10:wrap type="none"/>
          <w10:anchorlock/>
        </v:shape>
      </w:pict>
    </w:r>
    <w:r>
      <w:rPr>
        <w:rFonts w:hint="eastAsia"/>
      </w:rPr>
      <w:t xml:space="preserve">            </w:t>
    </w:r>
    <w:r>
      <w:t xml:space="preserve">                                                   </w:t>
    </w:r>
    <w:r>
      <w:rPr>
        <w:rFonts w:hint="eastAsia"/>
        <w:sz w:val="21"/>
      </w:rPr>
      <w:t>视野分析</w:t>
    </w:r>
    <w:r>
      <w:rPr>
        <w:sz w:val="21"/>
      </w:rPr>
      <w:t>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US"/>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17F62"/>
    <w:rsid w:val="001915A3"/>
    <w:rsid w:val="00217F62"/>
    <w:rsid w:val="00A906D8"/>
    <w:rsid w:val="00AB5A74"/>
    <w:rsid w:val="00F071AE"/>
    <w:rsid w:val="3D213B7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6">
    <w:name w:val="Balloon Text"/>
    <w:basedOn w:val="1"/>
    <w:link w:val="38"/>
    <w:uiPriority w:val="0"/>
    <w:pPr>
      <w:spacing w:line="240" w:lineRule="auto"/>
    </w:pPr>
    <w:rPr>
      <w:szCs w:val="18"/>
    </w:rPr>
  </w:style>
  <w:style w:type="paragraph" w:styleId="17">
    <w:name w:val="footer"/>
    <w:basedOn w:val="1"/>
    <w:link w:val="33"/>
    <w:uiPriority w:val="0"/>
    <w:pPr>
      <w:tabs>
        <w:tab w:val="center" w:pos="4153"/>
        <w:tab w:val="right" w:pos="8306"/>
      </w:tabs>
      <w:snapToGrid w:val="0"/>
    </w:pPr>
    <w:rPr>
      <w:szCs w:val="18"/>
    </w:rPr>
  </w:style>
  <w:style w:type="paragraph" w:styleId="18">
    <w:name w:val="header"/>
    <w:basedOn w:val="1"/>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 w:val="21"/>
      <w:szCs w:val="24"/>
      <w:lang w:val="en-US"/>
    </w:rPr>
  </w:style>
  <w:style w:type="paragraph" w:styleId="20">
    <w:name w:val="toc 2"/>
    <w:basedOn w:val="1"/>
    <w:next w:val="1"/>
    <w:uiPriority w:val="39"/>
    <w:pPr>
      <w:tabs>
        <w:tab w:val="left" w:pos="540"/>
        <w:tab w:val="left" w:pos="840"/>
        <w:tab w:val="right" w:leader="dot" w:pos="9360"/>
      </w:tabs>
      <w:ind w:left="200"/>
    </w:pPr>
    <w:rPr>
      <w:kern w:val="2"/>
      <w:sz w:val="21"/>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Char"/>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Char"/>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Char"/>
    <w:link w:val="13"/>
    <w:uiPriority w:val="0"/>
    <w:rPr>
      <w:sz w:val="18"/>
      <w:lang w:val="en-GB"/>
    </w:rPr>
  </w:style>
  <w:style w:type="character" w:customStyle="1" w:styleId="37">
    <w:name w:val="批注主题 Char"/>
    <w:link w:val="21"/>
    <w:uiPriority w:val="0"/>
    <w:rPr>
      <w:b/>
      <w:bCs/>
      <w:sz w:val="18"/>
      <w:lang w:val="en-GB"/>
    </w:rPr>
  </w:style>
  <w:style w:type="character" w:customStyle="1" w:styleId="38">
    <w:name w:val="批注框文本 Char"/>
    <w:link w:val="16"/>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bmp"/><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wmf"/><Relationship Id="rId15" Type="http://schemas.openxmlformats.org/officeDocument/2006/relationships/image" Target="media/image9.bmp"/><Relationship Id="rId14" Type="http://schemas.openxmlformats.org/officeDocument/2006/relationships/image" Target="media/image8.bmp"/><Relationship Id="rId13" Type="http://schemas.openxmlformats.org/officeDocument/2006/relationships/image" Target="media/image7.bmp"/><Relationship Id="rId12" Type="http://schemas.openxmlformats.org/officeDocument/2006/relationships/image" Target="media/image6.bmp"/><Relationship Id="rId11" Type="http://schemas.openxmlformats.org/officeDocument/2006/relationships/image" Target="media/image5.bmp"/><Relationship Id="rId10" Type="http://schemas.openxmlformats.org/officeDocument/2006/relationships/image" Target="media/image4.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视野率计算书</Template>
  <Pages>7</Pages>
  <Words>528</Words>
  <Characters>3015</Characters>
  <Lines>25</Lines>
  <Paragraphs>7</Paragraphs>
  <TotalTime>0</TotalTime>
  <ScaleCrop>false</ScaleCrop>
  <LinksUpToDate>false</LinksUpToDate>
  <CharactersWithSpaces>3536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2016-12-05T07:52:00Z</dcterms:created>
  <dc:creator>ybx</dc:creator>
  <cp:lastModifiedBy>333</cp:lastModifiedBy>
  <cp:lastPrinted>2411-12-31T16:00:00Z</cp:lastPrinted>
  <dcterms:modified xsi:type="dcterms:W3CDTF">2021-12-11T09:54:46Z</dcterms:modified>
  <dc:title>公共建筑视野率计算书</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B5442B1EA67841729494F3F3BBC63F05</vt:lpwstr>
  </property>
</Properties>
</file>