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t>土建学院实训大楼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1" w:name="设计编号"/>
            <w:r>
              <w:t>001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2" w:name="建设单位"/>
            <w:r>
              <w:t>黎明职业大学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3" w:name="设计单位"/>
            <w:r>
              <w:t>黎明职业大学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6" w:name="计算日期"/>
            <w:r>
              <w:t>2021年12月11日</w:t>
            </w:r>
            <w:bookmarkEnd w:id="6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采光分析DALI2020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20190808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bookmarkStart w:id="10" w:name="正版授权码"/>
            <w:r>
              <w:t>T13015862687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服务热线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>
      <w:pPr>
        <w:sectPr>
          <w:headerReference r:id="rId5" w:type="default"/>
          <w:footerReference r:id="rId6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  <w:bookmarkStart w:id="47" w:name="_GoBack"/>
      <w:bookmarkStart w:id="11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_Toc4284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_Toc4284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_Toc7643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_Toc7643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_Toc1994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_Toc1994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_Toc13901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_Toc13901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_Toc17728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标准要求</w:t>
      </w:r>
      <w:r>
        <w:tab/>
      </w:r>
      <w:r>
        <w:fldChar w:fldCharType="begin"/>
      </w:r>
      <w:r>
        <w:instrText xml:space="preserve"> PAGEREF _Toc17728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_Toc27297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_Toc27297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_Toc24256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4.1 </w:t>
      </w:r>
      <w:r>
        <w:t>软件</w:t>
      </w:r>
      <w:r>
        <w:rPr>
          <w:rFonts w:hint="eastAsia"/>
        </w:rPr>
        <w:t>选用</w:t>
      </w:r>
      <w:r>
        <w:tab/>
      </w:r>
      <w:r>
        <w:fldChar w:fldCharType="begin"/>
      </w:r>
      <w:r>
        <w:instrText xml:space="preserve"> PAGEREF _Toc24256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_Toc1230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计算原理</w:t>
      </w:r>
      <w:r>
        <w:tab/>
      </w:r>
      <w:r>
        <w:fldChar w:fldCharType="begin"/>
      </w:r>
      <w:r>
        <w:instrText xml:space="preserve"> PAGEREF _Toc1230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_Toc15829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_Toc15829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_Toc14809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模拟条件</w:t>
      </w:r>
      <w:r>
        <w:tab/>
      </w:r>
      <w:r>
        <w:fldChar w:fldCharType="begin"/>
      </w:r>
      <w:r>
        <w:instrText xml:space="preserve"> PAGEREF _Toc14809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_Toc5748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建筑饰面材料参数</w:t>
      </w:r>
      <w:r>
        <w:tab/>
      </w:r>
      <w:r>
        <w:fldChar w:fldCharType="begin"/>
      </w:r>
      <w:r>
        <w:instrText xml:space="preserve"> PAGEREF _Toc5748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_Toc31968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门窗类型参数</w:t>
      </w:r>
      <w:r>
        <w:tab/>
      </w:r>
      <w:r>
        <w:fldChar w:fldCharType="begin"/>
      </w:r>
      <w:r>
        <w:instrText xml:space="preserve"> PAGEREF _Toc31968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_Toc19023 </w:instrText>
      </w:r>
      <w:r>
        <w:rPr>
          <w:szCs w:val="28"/>
        </w:rP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t>普通</w:t>
      </w:r>
      <w:r>
        <w:rPr>
          <w:rFonts w:hint="eastAsia"/>
        </w:rPr>
        <w:t>窗</w:t>
      </w:r>
      <w:r>
        <w:tab/>
      </w:r>
      <w:r>
        <w:fldChar w:fldCharType="begin"/>
      </w:r>
      <w:r>
        <w:instrText xml:space="preserve"> PAGEREF _Toc19023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_Toc16278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_Toc16278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_Toc26616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_Toc26616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>
      <w:pPr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47"/>
      <w:bookmarkEnd w:id="11"/>
    </w:p>
    <w:p>
      <w:pPr>
        <w:pStyle w:val="2"/>
        <w:ind w:left="432" w:hanging="432"/>
      </w:pPr>
      <w:bookmarkStart w:id="12" w:name="_Toc4284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>光气候分区</w:t>
            </w:r>
          </w:p>
        </w:tc>
        <w:tc>
          <w:tcPr>
            <w:tcW w:w="2700" w:type="dxa"/>
          </w:tcPr>
          <w:p>
            <w:pPr>
              <w:pStyle w:val="3"/>
              <w:ind w:firstLine="0" w:firstLineChars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3" w:name="光气候分区"/>
            <w:r>
              <w:rPr>
                <w:rFonts w:ascii="宋体" w:hAnsi="宋体"/>
                <w:sz w:val="18"/>
                <w:szCs w:val="18"/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>光气候系数K</w:t>
            </w:r>
          </w:p>
        </w:tc>
        <w:tc>
          <w:tcPr>
            <w:tcW w:w="2124" w:type="dxa"/>
          </w:tcPr>
          <w:p>
            <w:pPr>
              <w:pStyle w:val="3"/>
              <w:ind w:firstLine="0" w:firstLineChars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4" w:name="光气候系数K"/>
            <w:r>
              <w:rPr>
                <w:rFonts w:ascii="宋体" w:hAnsi="宋体"/>
                <w:sz w:val="18"/>
                <w:szCs w:val="18"/>
                <w:lang w:val="en-US"/>
              </w:rPr>
              <w:t>1.10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 w:ascii="宋体" w:hAnsi="宋体"/>
                <w:szCs w:val="18"/>
                <w:lang w:val="en-US"/>
              </w:rPr>
              <w:t>12339.12</w:t>
            </w:r>
            <w:bookmarkEnd w:id="15"/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val="en-US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  地下 </w:t>
            </w:r>
            <w:r>
              <w:rPr>
                <w:rFonts w:hint="eastAsia" w:ascii="宋体" w:hAnsi="宋体"/>
                <w:szCs w:val="18"/>
                <w:lang w:val="en-US"/>
              </w:rPr>
              <w:t xml:space="preserve"> </w:t>
            </w:r>
            <w:bookmarkStart w:id="16" w:name="地下建筑面积"/>
            <w:r>
              <w:rPr>
                <w:rFonts w:hint="eastAsia" w:ascii="宋体" w:hAnsi="宋体"/>
                <w:szCs w:val="18"/>
                <w:lang w:val="en-US"/>
              </w:rPr>
              <w:t>0.00</w:t>
            </w:r>
            <w:bookmarkEnd w:id="16"/>
            <w:r>
              <w:rPr>
                <w:rFonts w:hint="eastAsia"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val="en-US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 w:ascii="宋体" w:hAnsi="宋体"/>
                <w:szCs w:val="18"/>
                <w:lang w:val="en-US"/>
              </w:rPr>
              <w:t>7</w:t>
            </w:r>
            <w:bookmarkEnd w:id="17"/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 w:ascii="宋体" w:hAnsi="宋体"/>
                <w:sz w:val="18"/>
                <w:szCs w:val="18"/>
                <w:lang w:val="en-US"/>
              </w:rPr>
              <w:t>0</w:t>
            </w:r>
            <w:bookmarkEnd w:id="18"/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地上 </w:t>
            </w:r>
            <w:r>
              <w:rPr>
                <w:rFonts w:hint="eastAsia" w:ascii="宋体" w:hAnsi="宋体"/>
                <w:szCs w:val="18"/>
                <w:lang w:val="en-US"/>
              </w:rPr>
              <w:t xml:space="preserve"> </w:t>
            </w:r>
            <w:bookmarkStart w:id="19" w:name="地上建筑高度"/>
            <w:r>
              <w:rPr>
                <w:rFonts w:hint="eastAsia" w:ascii="宋体" w:hAnsi="宋体"/>
                <w:szCs w:val="18"/>
                <w:lang w:val="en-US"/>
              </w:rPr>
              <w:t>27.30</w:t>
            </w:r>
            <w:bookmarkEnd w:id="19"/>
            <w:r>
              <w:rPr>
                <w:rFonts w:hint="eastAsia" w:ascii="宋体" w:hAnsi="宋体"/>
                <w:szCs w:val="18"/>
                <w:lang w:val="en-US"/>
              </w:rPr>
              <w:t xml:space="preserve"> m</w:t>
            </w:r>
            <w:r>
              <w:rPr>
                <w:rFonts w:hint="eastAsia" w:ascii="宋体" w:hAnsi="宋体"/>
                <w:sz w:val="16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 w:ascii="宋体" w:hAnsi="宋体"/>
                <w:szCs w:val="18"/>
                <w:lang w:val="en-US"/>
              </w:rPr>
              <w:t>0.00</w:t>
            </w:r>
            <w:bookmarkEnd w:id="20"/>
            <w:r>
              <w:rPr>
                <w:rFonts w:hint="eastAsia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/>
                <w:szCs w:val="18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ind w:firstLine="0" w:firstLineChars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360"/>
        <w:jc w:val="center"/>
        <w:rPr>
          <w:rFonts w:ascii="黑体" w:hAnsi="黑体" w:eastAsia="黑体"/>
          <w:sz w:val="18"/>
          <w:lang w:val="en-US"/>
        </w:rPr>
      </w:pPr>
    </w:p>
    <w:p>
      <w:pPr>
        <w:pStyle w:val="2"/>
        <w:ind w:left="432" w:hanging="432"/>
      </w:pPr>
      <w:bookmarkStart w:id="21" w:name="_Toc7643"/>
      <w:r>
        <w:rPr>
          <w:rFonts w:hint="eastAsia"/>
        </w:rPr>
        <w:t>分析目的</w:t>
      </w:r>
      <w:bookmarkEnd w:id="21"/>
    </w:p>
    <w:p>
      <w:pPr>
        <w:pStyle w:val="1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1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>
        <w:rPr>
          <w:rFonts w:ascii="Times New Roman" w:hAnsi="Times New Roman"/>
          <w:sz w:val="21"/>
          <w:szCs w:val="21"/>
        </w:rPr>
        <w:t>，绿色建筑评价中也要求对主要功能房间有合理的控制眩光的措施。本分析报告以相关标准为依据，采用DALI软</w:t>
      </w:r>
      <w:r>
        <w:rPr>
          <w:rFonts w:hint="eastAsia"/>
          <w:sz w:val="21"/>
          <w:szCs w:val="21"/>
        </w:rPr>
        <w:t>件进行采光模拟，分析项目主要功能房间眩光指数，并给出绿色建筑评估所需要的评价分值。</w:t>
      </w:r>
    </w:p>
    <w:p>
      <w:pPr>
        <w:pStyle w:val="2"/>
        <w:ind w:left="432" w:hanging="432"/>
      </w:pPr>
      <w:bookmarkStart w:id="22" w:name="_Toc1994"/>
      <w:r>
        <w:rPr>
          <w:rFonts w:hint="eastAsia"/>
        </w:rPr>
        <w:t>分析依据</w:t>
      </w:r>
      <w:bookmarkEnd w:id="22"/>
    </w:p>
    <w:p>
      <w:pPr>
        <w:pStyle w:val="4"/>
      </w:pPr>
      <w:bookmarkStart w:id="23" w:name="_Toc13901"/>
      <w:r>
        <w:rPr>
          <w:rFonts w:hint="eastAsia"/>
        </w:rPr>
        <w:t>标准依据</w:t>
      </w:r>
      <w:bookmarkEnd w:id="23"/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《建筑采光设计标准》</w:t>
      </w:r>
      <w:r>
        <w:rPr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《绿色建筑评价标准》</w:t>
      </w:r>
      <w:r>
        <w:rPr>
          <w:kern w:val="2"/>
          <w:lang w:val="en-US"/>
        </w:rPr>
        <w:t>GB/T 50378-2019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《采光测量方法》</w:t>
      </w:r>
      <w:r>
        <w:rPr>
          <w:kern w:val="2"/>
          <w:lang w:val="en-US"/>
        </w:rPr>
        <w:t>GB/T5699-2008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 xml:space="preserve">委托方提供的其它相关资料 </w:t>
      </w:r>
    </w:p>
    <w:p>
      <w:pPr>
        <w:pStyle w:val="4"/>
      </w:pPr>
      <w:bookmarkStart w:id="24" w:name="_Toc17728"/>
      <w:r>
        <w:rPr>
          <w:rFonts w:hint="eastAsia"/>
        </w:rPr>
        <w:t>标准要求</w:t>
      </w:r>
      <w:bookmarkEnd w:id="24"/>
    </w:p>
    <w:p>
      <w:pPr>
        <w:pStyle w:val="3"/>
        <w:spacing w:line="360" w:lineRule="auto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>
      <w:pPr>
        <w:pStyle w:val="13"/>
        <w:spacing w:line="360" w:lineRule="auto"/>
        <w:ind w:firstLine="422"/>
        <w:rPr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■ 《建筑采光设计标准》GB 50033-2013</w:t>
      </w:r>
      <w:r>
        <w:rPr>
          <w:rFonts w:hint="eastAsia"/>
          <w:kern w:val="0"/>
          <w:sz w:val="21"/>
          <w:szCs w:val="21"/>
        </w:rPr>
        <w:t>规定：</w:t>
      </w:r>
    </w:p>
    <w:p>
      <w:pPr>
        <w:pStyle w:val="13"/>
        <w:spacing w:line="360" w:lineRule="auto"/>
        <w:ind w:firstLine="420"/>
        <w:rPr>
          <w:rFonts w:ascii="黑体" w:hAnsi="黑体" w:eastAsia="黑体"/>
          <w:kern w:val="0"/>
          <w:sz w:val="21"/>
          <w:szCs w:val="21"/>
        </w:rPr>
      </w:pPr>
      <w:r>
        <w:rPr>
          <w:rFonts w:hint="eastAsia" w:ascii="黑体" w:hAnsi="黑体" w:eastAsia="黑体"/>
          <w:kern w:val="0"/>
          <w:sz w:val="21"/>
          <w:szCs w:val="21"/>
        </w:rPr>
        <w:t>窗的不舒适眩光指数不宜高于表5.0.3规定的数值。</w:t>
      </w:r>
    </w:p>
    <w:p>
      <w:pPr>
        <w:pStyle w:val="32"/>
        <w:spacing w:line="420" w:lineRule="auto"/>
        <w:ind w:left="902" w:hanging="420" w:firstLineChars="0"/>
        <w:jc w:val="center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szCs w:val="21"/>
              </w:rP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szCs w:val="21"/>
              </w:rP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</w:t>
            </w:r>
          </w:p>
        </w:tc>
      </w:tr>
    </w:tbl>
    <w:p>
      <w:pPr>
        <w:pStyle w:val="13"/>
        <w:spacing w:line="360" w:lineRule="auto"/>
        <w:ind w:firstLine="420"/>
        <w:rPr>
          <w:kern w:val="0"/>
          <w:sz w:val="21"/>
          <w:szCs w:val="21"/>
        </w:rPr>
      </w:pPr>
    </w:p>
    <w:p>
      <w:pPr>
        <w:pStyle w:val="3"/>
        <w:spacing w:line="360" w:lineRule="auto"/>
        <w:ind w:firstLine="420"/>
        <w:rPr>
          <w:rFonts w:ascii="宋体" w:hAnsi="宋体"/>
          <w:lang w:val="en-US"/>
        </w:rPr>
      </w:pPr>
      <w:r>
        <w:rPr>
          <w:rFonts w:hint="eastAsia" w:ascii="宋体" w:hAnsi="宋体"/>
          <w:lang w:val="en-US"/>
        </w:rPr>
        <w:t xml:space="preserve">■ </w:t>
      </w:r>
      <w:r>
        <w:rPr>
          <w:rFonts w:hint="eastAsia" w:ascii="宋体" w:hAnsi="宋体"/>
          <w:b/>
          <w:lang w:val="en-US"/>
        </w:rPr>
        <w:t>《绿色建筑评价标准》GB/T 50378-201</w:t>
      </w:r>
      <w:r>
        <w:rPr>
          <w:rFonts w:ascii="宋体" w:hAnsi="宋体"/>
          <w:b/>
          <w:lang w:val="en-US"/>
        </w:rPr>
        <w:t>9</w:t>
      </w:r>
      <w:r>
        <w:rPr>
          <w:rFonts w:hint="eastAsia" w:ascii="宋体" w:hAnsi="宋体"/>
          <w:lang w:val="en-US"/>
        </w:rPr>
        <w:t>规定：</w:t>
      </w:r>
    </w:p>
    <w:p>
      <w:pPr>
        <w:pStyle w:val="13"/>
        <w:spacing w:line="360" w:lineRule="auto"/>
        <w:ind w:firstLine="315" w:firstLineChars="15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5. 2. 8 </w:t>
      </w:r>
      <w:r>
        <w:rPr>
          <w:rFonts w:hint="eastAsia" w:ascii="黑体" w:hAnsi="黑体" w:eastAsia="黑体"/>
          <w:sz w:val="21"/>
          <w:szCs w:val="21"/>
        </w:rPr>
        <w:t>充分利用天然光，评价总分值为</w:t>
      </w:r>
      <w:r>
        <w:rPr>
          <w:rFonts w:ascii="黑体" w:hAnsi="黑体" w:eastAsia="黑体"/>
          <w:sz w:val="21"/>
          <w:szCs w:val="21"/>
        </w:rPr>
        <w:t xml:space="preserve">12 </w:t>
      </w:r>
      <w:r>
        <w:rPr>
          <w:rFonts w:hint="eastAsia" w:ascii="黑体" w:hAnsi="黑体" w:eastAsia="黑体"/>
          <w:sz w:val="21"/>
          <w:szCs w:val="21"/>
        </w:rPr>
        <w:t>分，并按下列规则分别评分并累计：</w:t>
      </w:r>
    </w:p>
    <w:p>
      <w:pPr>
        <w:pStyle w:val="13"/>
        <w:spacing w:line="360" w:lineRule="auto"/>
        <w:ind w:left="419" w:leftChars="233" w:firstLine="60" w:firstLineChars="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1 </w:t>
      </w:r>
      <w:r>
        <w:rPr>
          <w:rFonts w:hint="eastAsia" w:ascii="黑体" w:hAnsi="黑体" w:eastAsia="黑体"/>
          <w:sz w:val="21"/>
          <w:szCs w:val="21"/>
        </w:rPr>
        <w:t>住宅建筑室内主要功能空间至少</w:t>
      </w:r>
      <w:r>
        <w:rPr>
          <w:rFonts w:ascii="黑体" w:hAnsi="黑体" w:eastAsia="黑体"/>
          <w:sz w:val="21"/>
          <w:szCs w:val="21"/>
        </w:rPr>
        <w:t xml:space="preserve">60% </w:t>
      </w:r>
      <w:r>
        <w:rPr>
          <w:rFonts w:hint="eastAsia" w:ascii="黑体" w:hAnsi="黑体" w:eastAsia="黑体"/>
          <w:sz w:val="21"/>
          <w:szCs w:val="21"/>
        </w:rPr>
        <w:t>面积比例区域，其采光照度值不低千</w:t>
      </w:r>
      <w:r>
        <w:rPr>
          <w:rFonts w:ascii="黑体" w:hAnsi="黑体" w:eastAsia="黑体"/>
          <w:sz w:val="21"/>
          <w:szCs w:val="21"/>
        </w:rPr>
        <w:t xml:space="preserve">300lx </w:t>
      </w:r>
      <w:r>
        <w:rPr>
          <w:rFonts w:hint="eastAsia" w:ascii="黑体" w:hAnsi="黑体" w:eastAsia="黑体"/>
          <w:sz w:val="21"/>
          <w:szCs w:val="21"/>
        </w:rPr>
        <w:t>的小时数平均不少于</w:t>
      </w:r>
      <w:r>
        <w:rPr>
          <w:rFonts w:ascii="黑体" w:hAnsi="黑体" w:eastAsia="黑体"/>
          <w:sz w:val="21"/>
          <w:szCs w:val="21"/>
        </w:rPr>
        <w:t xml:space="preserve">8h/d, </w:t>
      </w:r>
      <w:r>
        <w:rPr>
          <w:rFonts w:hint="eastAsia" w:ascii="黑体" w:hAnsi="黑体" w:eastAsia="黑体"/>
          <w:sz w:val="21"/>
          <w:szCs w:val="21"/>
        </w:rPr>
        <w:t>得</w:t>
      </w:r>
      <w:r>
        <w:rPr>
          <w:rFonts w:ascii="黑体" w:hAnsi="黑体" w:eastAsia="黑体"/>
          <w:sz w:val="21"/>
          <w:szCs w:val="21"/>
        </w:rPr>
        <w:t xml:space="preserve">9 </w:t>
      </w:r>
      <w:r>
        <w:rPr>
          <w:rFonts w:hint="eastAsia" w:ascii="黑体" w:hAnsi="黑体" w:eastAsia="黑体"/>
          <w:sz w:val="21"/>
          <w:szCs w:val="21"/>
        </w:rPr>
        <w:t>分。</w:t>
      </w:r>
    </w:p>
    <w:p>
      <w:pPr>
        <w:pStyle w:val="13"/>
        <w:spacing w:line="360" w:lineRule="auto"/>
        <w:ind w:left="418" w:leftChars="232" w:firstLine="60" w:firstLineChars="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2 </w:t>
      </w:r>
      <w:r>
        <w:rPr>
          <w:rFonts w:hint="eastAsia" w:ascii="黑体" w:hAnsi="黑体" w:eastAsia="黑体"/>
          <w:sz w:val="21"/>
          <w:szCs w:val="21"/>
        </w:rPr>
        <w:t>公共建筑按下列规则分别评分并累计：</w:t>
      </w:r>
    </w:p>
    <w:p>
      <w:pPr>
        <w:pStyle w:val="13"/>
        <w:spacing w:line="360" w:lineRule="auto"/>
        <w:ind w:left="419" w:leftChars="233" w:firstLine="42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1) </w:t>
      </w:r>
      <w:r>
        <w:rPr>
          <w:rFonts w:hint="eastAsia" w:ascii="黑体" w:hAnsi="黑体" w:eastAsia="黑体"/>
          <w:sz w:val="21"/>
          <w:szCs w:val="21"/>
        </w:rPr>
        <w:t>内区采光系数满足采光要求的面积比例达到</w:t>
      </w:r>
      <w:r>
        <w:rPr>
          <w:rFonts w:ascii="黑体" w:hAnsi="黑体" w:eastAsia="黑体"/>
          <w:sz w:val="21"/>
          <w:szCs w:val="21"/>
        </w:rPr>
        <w:t xml:space="preserve">60%, </w:t>
      </w:r>
      <w:r>
        <w:rPr>
          <w:rFonts w:hint="eastAsia" w:ascii="黑体" w:hAnsi="黑体" w:eastAsia="黑体"/>
          <w:sz w:val="21"/>
          <w:szCs w:val="21"/>
        </w:rPr>
        <w:t>得</w:t>
      </w:r>
      <w:r>
        <w:rPr>
          <w:rFonts w:ascii="黑体" w:hAnsi="黑体" w:eastAsia="黑体"/>
          <w:sz w:val="21"/>
          <w:szCs w:val="21"/>
        </w:rPr>
        <w:t xml:space="preserve">3 </w:t>
      </w:r>
      <w:r>
        <w:rPr>
          <w:rFonts w:hint="eastAsia" w:ascii="黑体" w:hAnsi="黑体" w:eastAsia="黑体"/>
          <w:sz w:val="21"/>
          <w:szCs w:val="21"/>
        </w:rPr>
        <w:t>分；</w:t>
      </w:r>
    </w:p>
    <w:p>
      <w:pPr>
        <w:pStyle w:val="13"/>
        <w:spacing w:line="360" w:lineRule="auto"/>
        <w:ind w:left="418" w:leftChars="232" w:firstLine="42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2) </w:t>
      </w:r>
      <w:r>
        <w:rPr>
          <w:rFonts w:hint="eastAsia" w:ascii="黑体" w:hAnsi="黑体" w:eastAsia="黑体"/>
          <w:sz w:val="21"/>
          <w:szCs w:val="21"/>
        </w:rPr>
        <w:t>地下空间平均采光系数不小于</w:t>
      </w:r>
      <w:r>
        <w:rPr>
          <w:rFonts w:ascii="黑体" w:hAnsi="黑体" w:eastAsia="黑体"/>
          <w:sz w:val="21"/>
          <w:szCs w:val="21"/>
        </w:rPr>
        <w:t xml:space="preserve">0. 5% </w:t>
      </w:r>
      <w:r>
        <w:rPr>
          <w:rFonts w:hint="eastAsia" w:ascii="黑体" w:hAnsi="黑体" w:eastAsia="黑体"/>
          <w:sz w:val="21"/>
          <w:szCs w:val="21"/>
        </w:rPr>
        <w:t>的面积与地下室首层面积的比例达到</w:t>
      </w:r>
      <w:r>
        <w:rPr>
          <w:rFonts w:ascii="黑体" w:hAnsi="黑体" w:eastAsia="黑体"/>
          <w:sz w:val="21"/>
          <w:szCs w:val="21"/>
        </w:rPr>
        <w:t xml:space="preserve">10% </w:t>
      </w:r>
      <w:r>
        <w:rPr>
          <w:rFonts w:hint="eastAsia" w:ascii="黑体" w:hAnsi="黑体" w:eastAsia="黑体"/>
          <w:sz w:val="21"/>
          <w:szCs w:val="21"/>
        </w:rPr>
        <w:t>以上，得</w:t>
      </w:r>
      <w:r>
        <w:rPr>
          <w:rFonts w:ascii="黑体" w:hAnsi="黑体" w:eastAsia="黑体"/>
          <w:sz w:val="21"/>
          <w:szCs w:val="21"/>
        </w:rPr>
        <w:t xml:space="preserve">3 </w:t>
      </w:r>
      <w:r>
        <w:rPr>
          <w:rFonts w:hint="eastAsia" w:ascii="黑体" w:hAnsi="黑体" w:eastAsia="黑体"/>
          <w:sz w:val="21"/>
          <w:szCs w:val="21"/>
        </w:rPr>
        <w:t>分；</w:t>
      </w:r>
    </w:p>
    <w:p>
      <w:pPr>
        <w:pStyle w:val="13"/>
        <w:spacing w:line="360" w:lineRule="auto"/>
        <w:ind w:left="419" w:leftChars="233" w:firstLine="42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3) </w:t>
      </w:r>
      <w:r>
        <w:rPr>
          <w:rFonts w:hint="eastAsia" w:ascii="黑体" w:hAnsi="黑体" w:eastAsia="黑体"/>
          <w:sz w:val="21"/>
          <w:szCs w:val="21"/>
        </w:rPr>
        <w:t>室内主要功能空间至少</w:t>
      </w:r>
      <w:r>
        <w:rPr>
          <w:rFonts w:ascii="黑体" w:hAnsi="黑体" w:eastAsia="黑体"/>
          <w:sz w:val="21"/>
          <w:szCs w:val="21"/>
        </w:rPr>
        <w:t xml:space="preserve">60% </w:t>
      </w:r>
      <w:r>
        <w:rPr>
          <w:rFonts w:hint="eastAsia" w:ascii="黑体" w:hAnsi="黑体" w:eastAsia="黑体"/>
          <w:sz w:val="21"/>
          <w:szCs w:val="21"/>
        </w:rPr>
        <w:t>面积比例区域的采光照度值</w:t>
      </w:r>
      <w:r>
        <w:rPr>
          <w:rFonts w:ascii="黑体" w:hAnsi="黑体" w:eastAsia="黑体"/>
          <w:sz w:val="21"/>
          <w:szCs w:val="21"/>
        </w:rPr>
        <w:t>不低千采光要求的小</w:t>
      </w:r>
      <w:r>
        <w:rPr>
          <w:rFonts w:hint="eastAsia" w:ascii="黑体" w:hAnsi="黑体" w:eastAsia="黑体"/>
          <w:sz w:val="21"/>
          <w:szCs w:val="21"/>
        </w:rPr>
        <w:t>时</w:t>
      </w:r>
      <w:r>
        <w:rPr>
          <w:rFonts w:ascii="黑体" w:hAnsi="黑体" w:eastAsia="黑体"/>
          <w:sz w:val="21"/>
          <w:szCs w:val="21"/>
        </w:rPr>
        <w:t xml:space="preserve">数平均不少于4h/d, </w:t>
      </w:r>
      <w:r>
        <w:rPr>
          <w:rFonts w:hint="eastAsia" w:ascii="黑体" w:hAnsi="黑体" w:eastAsia="黑体"/>
          <w:sz w:val="21"/>
          <w:szCs w:val="21"/>
        </w:rPr>
        <w:t>得</w:t>
      </w:r>
      <w:r>
        <w:rPr>
          <w:rFonts w:ascii="黑体" w:hAnsi="黑体" w:eastAsia="黑体"/>
          <w:sz w:val="21"/>
          <w:szCs w:val="21"/>
        </w:rPr>
        <w:t xml:space="preserve">3 </w:t>
      </w:r>
      <w:r>
        <w:rPr>
          <w:rFonts w:hint="eastAsia" w:ascii="黑体" w:hAnsi="黑体" w:eastAsia="黑体"/>
          <w:sz w:val="21"/>
          <w:szCs w:val="21"/>
        </w:rPr>
        <w:t>分。</w:t>
      </w:r>
    </w:p>
    <w:p>
      <w:pPr>
        <w:pStyle w:val="13"/>
        <w:spacing w:line="360" w:lineRule="auto"/>
        <w:ind w:left="371" w:leftChars="206" w:firstLine="60" w:firstLineChars="0"/>
        <w:rPr>
          <w:rFonts w:ascii="黑体" w:hAnsi="黑体" w:eastAsia="黑体"/>
          <w:b/>
          <w:sz w:val="21"/>
          <w:szCs w:val="21"/>
        </w:rPr>
      </w:pPr>
      <w:r>
        <w:rPr>
          <w:rFonts w:ascii="黑体" w:hAnsi="黑体" w:eastAsia="黑体"/>
          <w:b/>
          <w:sz w:val="21"/>
          <w:szCs w:val="21"/>
        </w:rPr>
        <w:t xml:space="preserve">3 </w:t>
      </w:r>
      <w:r>
        <w:rPr>
          <w:rFonts w:hint="eastAsia" w:ascii="黑体" w:hAnsi="黑体" w:eastAsia="黑体"/>
          <w:b/>
          <w:sz w:val="21"/>
          <w:szCs w:val="21"/>
        </w:rPr>
        <w:t>主要功能房间</w:t>
      </w:r>
      <w:r>
        <w:rPr>
          <w:rFonts w:ascii="黑体" w:hAnsi="黑体" w:eastAsia="黑体"/>
          <w:b/>
          <w:sz w:val="21"/>
          <w:szCs w:val="21"/>
        </w:rPr>
        <w:t>有眩光控制措施，得</w:t>
      </w:r>
      <w:bookmarkStart w:id="25" w:name="眩光评价分值"/>
      <w:r>
        <w:rPr>
          <w:rFonts w:ascii="黑体" w:hAnsi="黑体" w:eastAsia="黑体"/>
          <w:b/>
          <w:sz w:val="21"/>
          <w:szCs w:val="21"/>
        </w:rPr>
        <w:t>3</w:t>
      </w:r>
      <w:bookmarkEnd w:id="25"/>
      <w:r>
        <w:rPr>
          <w:rFonts w:ascii="黑体" w:hAnsi="黑体" w:eastAsia="黑体"/>
          <w:b/>
          <w:sz w:val="21"/>
          <w:szCs w:val="21"/>
        </w:rPr>
        <w:t xml:space="preserve"> </w:t>
      </w:r>
      <w:r>
        <w:rPr>
          <w:rFonts w:hint="eastAsia" w:ascii="黑体" w:hAnsi="黑体" w:eastAsia="黑体"/>
          <w:b/>
          <w:sz w:val="21"/>
          <w:szCs w:val="21"/>
        </w:rPr>
        <w:t>分。</w:t>
      </w:r>
    </w:p>
    <w:p>
      <w:pPr>
        <w:pStyle w:val="2"/>
        <w:ind w:left="432" w:hanging="432"/>
      </w:pPr>
      <w:bookmarkStart w:id="26" w:name="_Toc27297"/>
      <w:r>
        <w:rPr>
          <w:rFonts w:hint="eastAsia"/>
        </w:rPr>
        <w:t>应用软件与计算方法</w:t>
      </w:r>
      <w:bookmarkEnd w:id="26"/>
    </w:p>
    <w:p>
      <w:pPr>
        <w:pStyle w:val="4"/>
      </w:pPr>
      <w:bookmarkStart w:id="27" w:name="_Toc24256"/>
      <w:r>
        <w:t>软件</w:t>
      </w:r>
      <w:r>
        <w:rPr>
          <w:rFonts w:hint="eastAsia"/>
        </w:rPr>
        <w:t>选用</w:t>
      </w:r>
      <w:bookmarkEnd w:id="27"/>
    </w:p>
    <w:p>
      <w:pPr>
        <w:pStyle w:val="13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本报告采用绿建斯维尔采光分析软件DALI建模</w:t>
      </w:r>
      <w:r>
        <w:rPr>
          <w:rFonts w:hint="eastAsia" w:ascii="Times New Roman" w:hAnsi="Times New Roman"/>
          <w:sz w:val="21"/>
          <w:szCs w:val="21"/>
        </w:rPr>
        <w:t>。</w:t>
      </w:r>
      <w:r>
        <w:rPr>
          <w:rFonts w:ascii="Times New Roman" w:hAnsi="Times New Roman"/>
          <w:sz w:val="21"/>
          <w:szCs w:val="21"/>
        </w:rPr>
        <w:t>DALI是国内首款与国标《建筑采光设计标准》GB50033-2013配套的软件，支持《绿色建筑评价标准》GB/T50378-2014的采光指标要求。</w:t>
      </w:r>
      <w:r>
        <w:rPr>
          <w:rFonts w:hint="eastAsia" w:ascii="Times New Roman" w:hAnsi="Times New Roman"/>
          <w:sz w:val="21"/>
          <w:szCs w:val="21"/>
        </w:rPr>
        <w:t>软件</w:t>
      </w:r>
      <w:r>
        <w:rPr>
          <w:rFonts w:ascii="Times New Roman" w:hAnsi="Times New Roman"/>
          <w:sz w:val="21"/>
          <w:szCs w:val="21"/>
        </w:rPr>
        <w:t>以Radiance为计算核心，将计算结果返回到DALI进行处理分析。DALI可对</w:t>
      </w:r>
      <w:r>
        <w:rPr>
          <w:rFonts w:ascii="Times New Roman" w:hAnsi="Times New Roman"/>
          <w:b/>
          <w:sz w:val="21"/>
          <w:szCs w:val="21"/>
        </w:rPr>
        <w:t>眩光指数</w:t>
      </w:r>
      <w:r>
        <w:rPr>
          <w:rFonts w:hint="eastAsia"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达标率、地下采光、内区采光、视野率等进行快速分析，并根据不同需求生成</w:t>
      </w:r>
      <w:r>
        <w:rPr>
          <w:rFonts w:hint="eastAsia" w:ascii="Times New Roman" w:hAnsi="Times New Roman"/>
          <w:sz w:val="21"/>
          <w:szCs w:val="21"/>
        </w:rPr>
        <w:t>《不舒适眩光</w:t>
      </w:r>
      <w:r>
        <w:rPr>
          <w:rFonts w:ascii="Times New Roman" w:hAnsi="Times New Roman"/>
          <w:sz w:val="21"/>
          <w:szCs w:val="21"/>
        </w:rPr>
        <w:t>分析报告书</w:t>
      </w:r>
      <w:r>
        <w:rPr>
          <w:rFonts w:hint="eastAsia" w:ascii="Times New Roman" w:hAnsi="Times New Roman"/>
          <w:sz w:val="21"/>
          <w:szCs w:val="21"/>
        </w:rPr>
        <w:t>》等</w:t>
      </w:r>
      <w:r>
        <w:rPr>
          <w:rFonts w:ascii="Times New Roman" w:hAnsi="Times New Roman"/>
          <w:sz w:val="21"/>
          <w:szCs w:val="21"/>
        </w:rPr>
        <w:t>系列采光分析报告书。</w:t>
      </w:r>
    </w:p>
    <w:p>
      <w:pPr>
        <w:pStyle w:val="13"/>
        <w:spacing w:line="360" w:lineRule="auto"/>
        <w:ind w:firstLine="422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  <w:sz w:val="21"/>
          <w:szCs w:val="21"/>
        </w:rPr>
        <w:t>。</w:t>
      </w:r>
    </w:p>
    <w:p>
      <w:pPr>
        <w:pStyle w:val="4"/>
      </w:pPr>
      <w:bookmarkStart w:id="28" w:name="_Toc1230"/>
      <w:r>
        <w:rPr>
          <w:rFonts w:hint="eastAsia"/>
        </w:rPr>
        <w:t>计算原理</w:t>
      </w:r>
      <w:bookmarkEnd w:id="28"/>
    </w:p>
    <w:p>
      <w:pPr>
        <w:pStyle w:val="13"/>
        <w:spacing w:line="360" w:lineRule="auto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■ 窗的不舒适眩光指数（</w:t>
      </w:r>
      <w:r>
        <w:rPr>
          <w:rFonts w:ascii="Times New Roman" w:hAnsi="Times New Roman"/>
          <w:b/>
          <w:sz w:val="21"/>
          <w:szCs w:val="21"/>
        </w:rPr>
        <w:t>DGI</w:t>
      </w:r>
      <w:r>
        <w:rPr>
          <w:rFonts w:hint="eastAsia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6" o:spt="75" type="#_x0000_t75" style="height:19.9pt;width:90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s" ShapeID="_x0000_i1026" DrawAspect="Content" ObjectID="_1468075725" r:id="rId9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7" o:spt="75" type="#_x0000_t75" style="height:36.75pt;width:135.5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s" ShapeID="_x0000_i1027" DrawAspect="Content" ObjectID="_1468075726" r:id="rId11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8" o:spt="75" type="#_x0000_t75" style="height:32.95pt;width:49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s" ShapeID="_x0000_i1028" DrawAspect="Content" ObjectID="_1468075727" r:id="rId13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9" o:spt="75" type="#_x0000_t75" style="height:18.4pt;width:41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s" ShapeID="_x0000_i1029" DrawAspect="Content" ObjectID="_1468075728" r:id="rId15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Gn----眩光常数；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Ls----窗亮度，通过窗所看到的天空、遮挡物和地面的加权平均亮度（cd/m</w:t>
      </w:r>
      <w:r>
        <w:rPr>
          <w:rFonts w:ascii="Times New Roman" w:hAnsi="Times New Roman"/>
          <w:sz w:val="21"/>
          <w:szCs w:val="21"/>
          <w:vertAlign w:val="superscript"/>
        </w:rPr>
        <w:t>2</w:t>
      </w:r>
      <w:r>
        <w:rPr>
          <w:rFonts w:ascii="Times New Roman" w:hAnsi="Times New Roman"/>
          <w:sz w:val="21"/>
          <w:szCs w:val="21"/>
        </w:rPr>
        <w:t>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Lb----背景亮度，观察者视野内各表面的平均亮度（cd/m</w:t>
      </w:r>
      <w:r>
        <w:rPr>
          <w:rFonts w:ascii="Times New Roman" w:hAnsi="Times New Roman"/>
          <w:sz w:val="21"/>
          <w:szCs w:val="21"/>
          <w:vertAlign w:val="superscript"/>
        </w:rPr>
        <w:t>2</w:t>
      </w:r>
      <w:r>
        <w:rPr>
          <w:rFonts w:ascii="Times New Roman" w:hAnsi="Times New Roman"/>
          <w:sz w:val="21"/>
          <w:szCs w:val="21"/>
        </w:rPr>
        <w:t>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ω----窗对计算点形成的立体角（sr）；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Ω----考虑窗位置修正的立体角（sr）；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 ----古斯位置指数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α----窗对角线与窗垂直方向的夹角；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β----观察者眼睛与窗中心点的连线与视线方向的夹角。</w:t>
      </w:r>
    </w:p>
    <w:p>
      <w:pPr>
        <w:pStyle w:val="13"/>
        <w:spacing w:line="360" w:lineRule="auto"/>
        <w:ind w:firstLine="0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pict>
          <v:shape id="_x0000_i1030" o:spt="75" type="#_x0000_t75" style="height:245.85pt;width:292.6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13"/>
        <w:spacing w:line="360" w:lineRule="auto"/>
        <w:ind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>
      <w:pPr>
        <w:pStyle w:val="2"/>
        <w:ind w:left="432" w:hanging="432"/>
      </w:pPr>
      <w:bookmarkStart w:id="29" w:name="_Toc15829"/>
      <w:r>
        <w:rPr>
          <w:rFonts w:hint="eastAsia"/>
        </w:rPr>
        <w:t>计算参数选用</w:t>
      </w:r>
      <w:bookmarkEnd w:id="29"/>
    </w:p>
    <w:p>
      <w:pPr>
        <w:pStyle w:val="4"/>
      </w:pPr>
      <w:bookmarkStart w:id="30" w:name="_Toc14809"/>
      <w:r>
        <w:rPr>
          <w:rFonts w:hint="eastAsia"/>
        </w:rPr>
        <w:t>模拟条件</w:t>
      </w:r>
      <w:bookmarkEnd w:id="30"/>
    </w:p>
    <w:p>
      <w:pPr>
        <w:pStyle w:val="13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天空状态：</w:t>
      </w:r>
      <w:bookmarkStart w:id="31" w:name="天空模型"/>
      <w:r>
        <w:rPr>
          <w:rFonts w:hint="eastAsia"/>
          <w:b/>
          <w:sz w:val="21"/>
          <w:szCs w:val="21"/>
        </w:rPr>
        <w:t>晴天－CIE12（大气清晰）：6月21日 12:00 考虑太阳直射</w:t>
      </w:r>
      <w:bookmarkEnd w:id="31"/>
    </w:p>
    <w:p>
      <w:pPr>
        <w:pStyle w:val="13"/>
        <w:spacing w:line="420" w:lineRule="auto"/>
        <w:ind w:firstLine="422"/>
        <w:rPr>
          <w:sz w:val="21"/>
          <w:szCs w:val="21"/>
        </w:rPr>
      </w:pPr>
      <w:r>
        <w:rPr>
          <w:b/>
          <w:sz w:val="21"/>
          <w:szCs w:val="21"/>
        </w:rPr>
        <w:t>周边环境</w:t>
      </w:r>
      <w:r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考虑</w:t>
      </w:r>
      <w:r>
        <w:rPr>
          <w:rFonts w:hint="eastAsia"/>
          <w:sz w:val="21"/>
          <w:szCs w:val="21"/>
        </w:rPr>
        <w:t>分析区内的</w:t>
      </w:r>
      <w:r>
        <w:rPr>
          <w:sz w:val="21"/>
          <w:szCs w:val="21"/>
        </w:rPr>
        <w:t>建筑物</w:t>
      </w:r>
      <w:r>
        <w:rPr>
          <w:rFonts w:hint="eastAsia"/>
          <w:sz w:val="21"/>
          <w:szCs w:val="21"/>
        </w:rPr>
        <w:t>之间</w:t>
      </w:r>
      <w:r>
        <w:rPr>
          <w:sz w:val="21"/>
          <w:szCs w:val="21"/>
        </w:rPr>
        <w:t>遮挡</w:t>
      </w:r>
    </w:p>
    <w:p>
      <w:pPr>
        <w:pStyle w:val="13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>
        <w:rPr>
          <w:sz w:val="21"/>
          <w:szCs w:val="21"/>
        </w:rPr>
        <w:t>。</w:t>
      </w:r>
    </w:p>
    <w:p>
      <w:pPr>
        <w:pStyle w:val="4"/>
      </w:pPr>
      <w:bookmarkStart w:id="32" w:name="_Toc5748"/>
      <w:r>
        <w:rPr>
          <w:rFonts w:hint="eastAsia"/>
        </w:rPr>
        <w:t>建筑饰面材料参数</w:t>
      </w:r>
      <w:bookmarkEnd w:id="32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Cs w:val="18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33" w:name="顶棚反射比"/>
            <w:r>
              <w:rPr>
                <w:rFonts w:hint="eastAsia"/>
                <w:szCs w:val="18"/>
              </w:rPr>
              <w:t>0.84</w:t>
            </w:r>
            <w:bookmarkEnd w:id="33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34" w:name="地面反射比"/>
            <w:r>
              <w:rPr>
                <w:rFonts w:hint="eastAsia"/>
                <w:szCs w:val="18"/>
              </w:rPr>
              <w:t>0.42</w:t>
            </w:r>
            <w:bookmarkEnd w:id="34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35" w:name="墙面反射比"/>
            <w:r>
              <w:rPr>
                <w:rFonts w:hint="eastAsia"/>
                <w:szCs w:val="18"/>
              </w:rPr>
              <w:t>0.84</w:t>
            </w:r>
            <w:bookmarkEnd w:id="35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36" w:name="外表面反射比"/>
            <w:r>
              <w:rPr>
                <w:rFonts w:hint="eastAsia"/>
                <w:szCs w:val="18"/>
              </w:rPr>
              <w:t>0.62</w:t>
            </w:r>
            <w:bookmarkEnd w:id="36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</w:tbl>
    <w:p>
      <w:pPr>
        <w:pStyle w:val="13"/>
        <w:spacing w:line="36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数据参考自：《建筑采光设计标准》</w:t>
      </w:r>
      <w:r>
        <w:rPr>
          <w:sz w:val="18"/>
          <w:szCs w:val="18"/>
        </w:rPr>
        <w:t>GB50033-2013</w:t>
      </w:r>
      <w:r>
        <w:rPr>
          <w:rFonts w:hint="eastAsia"/>
          <w:sz w:val="18"/>
          <w:szCs w:val="18"/>
        </w:rPr>
        <w:t>附录</w:t>
      </w:r>
      <w:r>
        <w:rPr>
          <w:sz w:val="18"/>
          <w:szCs w:val="18"/>
        </w:rPr>
        <w:t>D</w:t>
      </w:r>
      <w:r>
        <w:rPr>
          <w:rFonts w:hint="eastAsia"/>
          <w:sz w:val="18"/>
          <w:szCs w:val="18"/>
        </w:rPr>
        <w:t xml:space="preserve"> 表D.0.5；</w:t>
      </w:r>
      <w:r>
        <w:rPr>
          <w:rFonts w:hint="eastAsia"/>
          <w:szCs w:val="21"/>
        </w:rPr>
        <w:tab/>
      </w:r>
    </w:p>
    <w:p>
      <w:pPr>
        <w:pStyle w:val="4"/>
      </w:pPr>
      <w:bookmarkStart w:id="37" w:name="_Toc31968"/>
      <w:r>
        <w:rPr>
          <w:rFonts w:hint="eastAsia"/>
        </w:rPr>
        <w:t>门窗类型参数</w:t>
      </w:r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5"/>
      </w:pPr>
      <w:bookmarkStart w:id="38" w:name="_Toc19023"/>
      <w:bookmarkStart w:id="39" w:name="窗"/>
      <w:r>
        <w:t>普通</w:t>
      </w:r>
      <w:r>
        <w:rPr>
          <w:rFonts w:hint="eastAsia"/>
        </w:rPr>
        <w:t>窗</w:t>
      </w:r>
      <w:bookmarkEnd w:id="38"/>
    </w:p>
    <w:bookmarkEnd w:id="39"/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5"/>
        <w:gridCol w:w="1245"/>
        <w:gridCol w:w="1301"/>
        <w:gridCol w:w="1301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C1115</w:t>
            </w:r>
          </w:p>
        </w:tc>
        <w:tc>
          <w:tcPr>
            <w:vAlign w:val="center"/>
          </w:tcPr>
          <w:p>
            <w:r>
              <w:t>1100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C7221</w:t>
            </w:r>
          </w:p>
        </w:tc>
        <w:tc>
          <w:tcPr>
            <w:vAlign w:val="center"/>
          </w:tcPr>
          <w:p>
            <w:r>
              <w:t>7200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GC4815</w:t>
            </w:r>
          </w:p>
        </w:tc>
        <w:tc>
          <w:tcPr>
            <w:vAlign w:val="center"/>
          </w:tcPr>
          <w:p>
            <w:r>
              <w:t>4800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MC-4'</w:t>
            </w:r>
          </w:p>
        </w:tc>
        <w:tc>
          <w:tcPr>
            <w:vAlign w:val="center"/>
          </w:tcPr>
          <w:p>
            <w:r>
              <w:t>2736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MC-7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TC0926</w:t>
            </w:r>
          </w:p>
        </w:tc>
        <w:tc>
          <w:tcPr>
            <w:vAlign w:val="center"/>
          </w:tcPr>
          <w:p>
            <w:r>
              <w:t>900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TC1223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TC1526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TC1923</w:t>
            </w:r>
          </w:p>
        </w:tc>
        <w:tc>
          <w:tcPr>
            <w:vAlign w:val="center"/>
          </w:tcPr>
          <w:p>
            <w:r>
              <w:t>1900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TC2217</w:t>
            </w:r>
          </w:p>
        </w:tc>
        <w:tc>
          <w:tcPr>
            <w:vAlign w:val="center"/>
          </w:tcPr>
          <w:p>
            <w:r>
              <w:t>2200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TC2223</w:t>
            </w:r>
          </w:p>
        </w:tc>
        <w:tc>
          <w:tcPr>
            <w:vAlign w:val="center"/>
          </w:tcPr>
          <w:p>
            <w:r>
              <w:t>2200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TC2226</w:t>
            </w:r>
          </w:p>
        </w:tc>
        <w:tc>
          <w:tcPr>
            <w:vAlign w:val="center"/>
          </w:tcPr>
          <w:p>
            <w:r>
              <w:t>2200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TC2415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TC2416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TC2417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2500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2500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TC2616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TC2617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TC2626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TC2726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TC3026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TC3126</w:t>
            </w:r>
          </w:p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TC3323</w:t>
            </w:r>
          </w:p>
        </w:tc>
        <w:tc>
          <w:tcPr>
            <w:vAlign w:val="center"/>
          </w:tcPr>
          <w:p>
            <w:r>
              <w:t>3300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TC3326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TC3333</w:t>
            </w:r>
          </w:p>
        </w:tc>
        <w:tc>
          <w:tcPr>
            <w:vAlign w:val="center"/>
          </w:tcPr>
          <w:p>
            <w:r>
              <w:t>3300</w:t>
            </w:r>
          </w:p>
        </w:tc>
        <w:tc>
          <w:tcPr>
            <w:vAlign w:val="center"/>
          </w:tcPr>
          <w:p>
            <w:r>
              <w:t>3300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3600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TC3717</w:t>
            </w:r>
          </w:p>
        </w:tc>
        <w:tc>
          <w:tcPr>
            <w:vAlign w:val="center"/>
          </w:tcPr>
          <w:p>
            <w:r>
              <w:t>3700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TC3723</w:t>
            </w:r>
          </w:p>
        </w:tc>
        <w:tc>
          <w:tcPr>
            <w:vAlign w:val="center"/>
          </w:tcPr>
          <w:p>
            <w:r>
              <w:t>3700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TC3915</w:t>
            </w:r>
          </w:p>
        </w:tc>
        <w:tc>
          <w:tcPr>
            <w:vAlign w:val="center"/>
          </w:tcPr>
          <w:p>
            <w:r>
              <w:t>3900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TC3923</w:t>
            </w:r>
          </w:p>
        </w:tc>
        <w:tc>
          <w:tcPr>
            <w:vAlign w:val="center"/>
          </w:tcPr>
          <w:p>
            <w:r>
              <w:t>3600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TC4226</w:t>
            </w:r>
          </w:p>
        </w:tc>
        <w:tc>
          <w:tcPr>
            <w:vAlign w:val="center"/>
          </w:tcPr>
          <w:p>
            <w:r>
              <w:t>4200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TC4227</w:t>
            </w:r>
          </w:p>
        </w:tc>
        <w:tc>
          <w:tcPr>
            <w:vAlign w:val="center"/>
          </w:tcPr>
          <w:p>
            <w:r>
              <w:t>4200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TC4527</w:t>
            </w:r>
          </w:p>
        </w:tc>
        <w:tc>
          <w:tcPr>
            <w:vAlign w:val="center"/>
          </w:tcPr>
          <w:p>
            <w:r>
              <w:t>4500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4800</w:t>
            </w:r>
          </w:p>
        </w:tc>
        <w:tc>
          <w:tcPr>
            <w:vAlign w:val="center"/>
          </w:tcPr>
          <w:p>
            <w:r>
              <w:t>2600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TC4833</w:t>
            </w:r>
          </w:p>
        </w:tc>
        <w:tc>
          <w:tcPr>
            <w:vAlign w:val="center"/>
          </w:tcPr>
          <w:p>
            <w:r>
              <w:t>4800</w:t>
            </w:r>
          </w:p>
        </w:tc>
        <w:tc>
          <w:tcPr>
            <w:vAlign w:val="center"/>
          </w:tcPr>
          <w:p>
            <w:r>
              <w:t>3300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透光门-MC-4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2"/>
        <w:ind w:left="432" w:hanging="432"/>
      </w:pPr>
      <w:bookmarkStart w:id="40" w:name="_Toc16278"/>
      <w:r>
        <w:rPr>
          <w:rFonts w:hint="eastAsia"/>
        </w:rPr>
        <w:t>眩光分析结果</w:t>
      </w:r>
      <w:bookmarkEnd w:id="4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pStyle w:val="3"/>
        <w:spacing w:line="240" w:lineRule="atLeast"/>
        <w:ind w:firstLine="0" w:firstLineChars="0"/>
        <w:jc w:val="center"/>
        <w:rPr>
          <w:lang w:val="en-US"/>
        </w:rPr>
      </w:pPr>
      <w:bookmarkStart w:id="41" w:name="房间眩光表"/>
      <w:bookmarkEnd w:id="41"/>
    </w:p>
    <w:p>
      <w:pPr>
        <w:pStyle w:val="2"/>
        <w:ind w:left="432" w:hanging="432"/>
      </w:pPr>
      <w:bookmarkStart w:id="42" w:name="_Toc26616"/>
      <w:r>
        <w:rPr>
          <w:rFonts w:hint="eastAsia"/>
        </w:rPr>
        <w:t>评价结论</w:t>
      </w:r>
      <w:bookmarkEnd w:id="42"/>
    </w:p>
    <w:p>
      <w:pPr>
        <w:pStyle w:val="13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通过计算分析，同时依据《建筑采光设计标准》GB 50033-2013对本项目的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3" w:name="眩光评价房间数"/>
      <w:r>
        <w:rPr>
          <w:rFonts w:ascii="Times New Roman" w:hAnsi="Times New Roman"/>
          <w:sz w:val="21"/>
          <w:szCs w:val="21"/>
          <w:u w:val="single"/>
        </w:rPr>
        <w:t>70</w:t>
      </w:r>
      <w:bookmarkEnd w:id="43"/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</w:rPr>
        <w:t>个主要功能房间进行眩光分析计算，其中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4" w:name="眩光不达标房间数"/>
      <w:r>
        <w:rPr>
          <w:rFonts w:ascii="Times New Roman" w:hAnsi="Times New Roman"/>
          <w:sz w:val="21"/>
          <w:szCs w:val="21"/>
          <w:u w:val="single"/>
        </w:rPr>
        <w:t>0</w:t>
      </w:r>
      <w:bookmarkEnd w:id="44"/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</w:rPr>
        <w:t>个房间不满足标准限值要求，根据</w:t>
      </w:r>
      <w:r>
        <w:rPr>
          <w:rFonts w:hint="eastAsia" w:ascii="Times New Roman" w:hAnsi="Times New Roman"/>
          <w:sz w:val="21"/>
          <w:szCs w:val="21"/>
        </w:rPr>
        <w:t>《</w:t>
      </w:r>
      <w:r>
        <w:rPr>
          <w:rFonts w:ascii="Times New Roman" w:hAnsi="Times New Roman"/>
          <w:sz w:val="21"/>
          <w:szCs w:val="21"/>
        </w:rPr>
        <w:t>绿色建筑评价标准</w:t>
      </w:r>
      <w:r>
        <w:rPr>
          <w:rFonts w:hint="eastAsia" w:ascii="Times New Roman" w:hAnsi="Times New Roman"/>
          <w:sz w:val="21"/>
          <w:szCs w:val="21"/>
        </w:rPr>
        <w:t>》 GB</w:t>
      </w:r>
      <w:r>
        <w:rPr>
          <w:rFonts w:ascii="Times New Roman" w:hAnsi="Times New Roman"/>
          <w:sz w:val="21"/>
          <w:szCs w:val="21"/>
        </w:rPr>
        <w:t>/T 50378-2019的5.2.8条款要求，本项目合理控制眩光项得分为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5" w:name="眩光评价得分"/>
      <w:r>
        <w:rPr>
          <w:rFonts w:ascii="Times New Roman" w:hAnsi="Times New Roman"/>
          <w:sz w:val="21"/>
          <w:szCs w:val="21"/>
          <w:u w:val="single"/>
        </w:rPr>
        <w:t>3</w:t>
      </w:r>
      <w:bookmarkEnd w:id="45"/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</w:rPr>
        <w:t>分。</w:t>
      </w:r>
    </w:p>
    <w:p>
      <w:pPr>
        <w:pStyle w:val="3"/>
        <w:spacing w:line="240" w:lineRule="auto"/>
        <w:ind w:firstLine="0" w:firstLineChars="0"/>
        <w:rPr>
          <w:lang w:val="en-US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240" w:lineRule="auto"/>
        <w:ind w:firstLine="0" w:firstLineChars="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附：周边遮挡总平面图</w:t>
      </w:r>
    </w:p>
    <w:p>
      <w:pPr>
        <w:pStyle w:val="3"/>
        <w:spacing w:line="240" w:lineRule="auto"/>
        <w:ind w:firstLine="0" w:firstLineChars="0"/>
        <w:jc w:val="center"/>
        <w:rPr>
          <w:sz w:val="28"/>
          <w:szCs w:val="28"/>
          <w:lang w:val="en-US"/>
        </w:rPr>
      </w:pPr>
      <w:bookmarkStart w:id="46" w:name="总平面图"/>
      <w:bookmarkEnd w:id="46"/>
      <w:r>
        <w:drawing>
          <wp:inline distT="0" distB="0" distL="0" distR="0">
            <wp:extent cx="5667375" cy="44005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jc w:val="center"/>
        <w:rPr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DALI2018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spacing w:line="240" w:lineRule="auto"/>
      <w:jc w:val="left"/>
      <w:rPr>
        <w:sz w:val="21"/>
      </w:rPr>
    </w:pPr>
    <w:r>
      <w:rPr>
        <w:lang w:val="en-US"/>
      </w:rPr>
      <w:pict>
        <v:shape id="_x0000_i1025" o:spt="75" type="#_x0000_t75" style="height:19.9pt;width:76.6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</w:t>
    </w:r>
    <w:r>
      <w:t xml:space="preserve">                                                </w:t>
    </w:r>
    <w:r>
      <w:rPr>
        <w:rFonts w:hint="eastAsia"/>
        <w:sz w:val="21"/>
      </w:rPr>
      <w:t>不舒适眩光</w:t>
    </w:r>
    <w:r>
      <w:rPr>
        <w:sz w:val="21"/>
      </w:rPr>
      <w:t>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1E5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 w:val="21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 w:val="21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 w:val="21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Char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Char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image" Target="media/image7.emf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wmf"/><Relationship Id="rId13" Type="http://schemas.openxmlformats.org/officeDocument/2006/relationships/oleObject" Target="embeddings/oleObject3.bin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不舒适眩光分析报告书</Template>
  <Company>gbsware</Company>
  <Pages>8</Pages>
  <Words>570</Words>
  <Characters>3251</Characters>
  <Lines>27</Lines>
  <Paragraphs>7</Paragraphs>
  <TotalTime>0</TotalTime>
  <ScaleCrop>false</ScaleCrop>
  <LinksUpToDate>false</LinksUpToDate>
  <CharactersWithSpaces>3814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2016-12-05T07:53:00Z</dcterms:created>
  <dc:creator>ybx</dc:creator>
  <cp:lastModifiedBy>333</cp:lastModifiedBy>
  <cp:lastPrinted>2411-12-31T16:00:00Z</cp:lastPrinted>
  <dcterms:modified xsi:type="dcterms:W3CDTF">2021-12-11T09:21:14Z</dcterms:modified>
  <dc:title>眩光分析报告书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23CC5201A0F84A2696A93E320FE9587C</vt:lpwstr>
  </property>
</Properties>
</file>