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活动</w:t>
      </w:r>
      <w:r>
        <w:rPr>
          <w:rFonts w:ascii="黑体" w:hAnsi="宋体" w:eastAsia="黑体"/>
          <w:b/>
          <w:bCs/>
          <w:sz w:val="72"/>
          <w:szCs w:val="72"/>
        </w:rPr>
        <w:t>场地</w:t>
      </w: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遮阴率计算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土建学院实训大楼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rPr>
                <w:rFonts w:hint="eastAsia" w:ascii="宋体" w:hAnsi="宋体"/>
                <w:szCs w:val="21"/>
              </w:rPr>
              <w:t>泉州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热环境TERA2020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ascii="宋体" w:hAnsi="宋体"/>
                <w:szCs w:val="18"/>
              </w:rPr>
              <w:t>20190808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T13015862687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"_Toc16499895"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_Toc16499895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"_Toc16499896"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_Toc16499896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指标要求</w:t>
      </w:r>
      <w:r>
        <w:tab/>
      </w:r>
      <w:r>
        <w:fldChar w:fldCharType="begin"/>
      </w:r>
      <w:r>
        <w:instrText xml:space="preserve"> PAGEREF _Toc16499897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"_Toc16499898"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_Toc16499898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"_Toc16499899"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遮阴概述</w:t>
      </w:r>
      <w:r>
        <w:tab/>
      </w:r>
      <w:r>
        <w:fldChar w:fldCharType="begin"/>
      </w:r>
      <w:r>
        <w:instrText xml:space="preserve"> PAGEREF _Toc16499899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"_Toc16499900"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_Toc16499900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"_Toc16499901"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指标概览</w:t>
      </w:r>
      <w:r>
        <w:tab/>
      </w:r>
      <w:r>
        <w:fldChar w:fldCharType="begin"/>
      </w:r>
      <w:r>
        <w:instrText xml:space="preserve"> PAGEREF _Toc16499901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"_Toc16499902"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_Toc16499902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"_Toc16499903"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_Toc16499903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"_Toc16499904"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_Toc16499904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活动场地遮阴图</w:t>
      </w:r>
      <w:r>
        <w:tab/>
      </w:r>
      <w:r>
        <w:fldChar w:fldCharType="begin"/>
      </w:r>
      <w:r>
        <w:instrText xml:space="preserve"> PAGEREF _Toc16499905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评价结论</w:t>
      </w:r>
      <w:r>
        <w:tab/>
      </w:r>
      <w:r>
        <w:fldChar w:fldCharType="begin"/>
      </w:r>
      <w:r>
        <w:instrText xml:space="preserve"> PAGEREF _Toc16499906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0" w:name="_Toc16499895"/>
      <w:bookmarkStart w:id="11" w:name="_Toc401318136"/>
      <w:r>
        <w:rPr>
          <w:rFonts w:hint="eastAsia"/>
        </w:rPr>
        <w:t>住区概况</w:t>
      </w:r>
      <w:bookmarkEnd w:id="10"/>
      <w:bookmarkEnd w:id="11"/>
    </w:p>
    <w:tbl>
      <w:tblPr>
        <w:tblStyle w:val="18"/>
        <w:tblW w:w="0" w:type="auto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土建学院实训大楼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rPr>
                <w:rFonts w:hint="eastAsia" w:ascii="宋体" w:hAnsi="宋体"/>
                <w:lang w:val="en-US"/>
              </w:rPr>
              <w:t>泉州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类型"/>
            <w:r>
              <w:t>公共建筑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ascii="宋体" w:hAnsi="宋体"/>
                <w:lang w:val="en-US"/>
              </w:rPr>
              <w:t>24.93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ascii="宋体" w:hAnsi="宋体"/>
                <w:lang w:val="en-US"/>
              </w:rPr>
              <w:t>118.60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2"/>
      </w:pPr>
      <w:bookmarkStart w:id="16" w:name="_Toc16499896"/>
      <w:bookmarkStart w:id="17" w:name="TitleFormat"/>
      <w:r>
        <w:rPr>
          <w:rFonts w:hint="eastAsia"/>
        </w:rPr>
        <w:t>标准</w:t>
      </w:r>
      <w:bookmarkStart w:id="18" w:name="_Toc401318137"/>
      <w:r>
        <w:rPr>
          <w:rFonts w:hint="eastAsia"/>
        </w:rPr>
        <w:t>依据</w:t>
      </w:r>
      <w:bookmarkEnd w:id="16"/>
      <w:bookmarkEnd w:id="18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1.《绿色建筑评价标准》（JG/T50378-2019）</w:t>
      </w:r>
      <w:bookmarkStart w:id="35" w:name="_GoBack"/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2.《建筑日照计算参数标准》（JG/T50947-2014）</w:t>
      </w:r>
    </w:p>
    <w:p>
      <w:pPr>
        <w:pStyle w:val="2"/>
      </w:pPr>
      <w:bookmarkStart w:id="19" w:name="_Toc16499897"/>
      <w:r>
        <w:rPr>
          <w:rFonts w:hint="eastAsia"/>
        </w:rPr>
        <w:t>指标要求</w:t>
      </w:r>
      <w:bookmarkEnd w:id="19"/>
    </w:p>
    <w:p>
      <w:pPr>
        <w:pStyle w:val="4"/>
      </w:pPr>
      <w:bookmarkStart w:id="20" w:name="_Toc16499898"/>
      <w:r>
        <w:rPr>
          <w:rFonts w:hint="eastAsia"/>
        </w:rPr>
        <w:t>规范要求</w:t>
      </w:r>
      <w:bookmarkEnd w:id="2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《绿色建筑评价标准》（JG/T50378-2019）中有关活动场地遮阴率的具体要求如下：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8.2.9 采取措施降低热岛强度，评价总分值为4分，并按下列规则分别评分并累计：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1、场</w:t>
      </w:r>
      <w:r>
        <w:rPr>
          <w:lang w:val="en-US"/>
        </w:rPr>
        <w:t>地中</w:t>
      </w:r>
      <w:r>
        <w:rPr>
          <w:rFonts w:hint="eastAsia"/>
          <w:lang w:val="en-US"/>
        </w:rPr>
        <w:t>处</w:t>
      </w:r>
      <w:r>
        <w:rPr>
          <w:lang w:val="en-US"/>
        </w:rPr>
        <w:t>于建筑阴影区外的步道、游憩</w:t>
      </w:r>
      <w:r>
        <w:rPr>
          <w:rFonts w:hint="eastAsia"/>
          <w:lang w:val="en-US"/>
        </w:rPr>
        <w:t>场</w:t>
      </w:r>
      <w:r>
        <w:rPr>
          <w:lang w:val="en-US"/>
        </w:rPr>
        <w:t>、庭院、广</w:t>
      </w:r>
      <w:r>
        <w:rPr>
          <w:rFonts w:hint="eastAsia"/>
          <w:lang w:val="en-US"/>
        </w:rPr>
        <w:t>场等室外活动场</w:t>
      </w:r>
      <w:r>
        <w:rPr>
          <w:lang w:val="en-US"/>
        </w:rPr>
        <w:t>地</w:t>
      </w:r>
      <w:r>
        <w:rPr>
          <w:rFonts w:hint="eastAsia"/>
          <w:lang w:val="en-US"/>
        </w:rPr>
        <w:t>设</w:t>
      </w:r>
      <w:r>
        <w:rPr>
          <w:lang w:val="en-US"/>
        </w:rPr>
        <w:t>有</w:t>
      </w:r>
      <w:r>
        <w:rPr>
          <w:rFonts w:hint="eastAsia"/>
          <w:lang w:val="en-US"/>
        </w:rPr>
        <w:t>乔</w:t>
      </w:r>
      <w:r>
        <w:rPr>
          <w:lang w:val="en-US"/>
        </w:rPr>
        <w:t>木、花架等遮阴措施的面</w:t>
      </w:r>
      <w:r>
        <w:rPr>
          <w:rFonts w:hint="eastAsia"/>
          <w:lang w:val="en-US"/>
        </w:rPr>
        <w:t>积</w:t>
      </w:r>
      <w:r>
        <w:rPr>
          <w:lang w:val="en-US"/>
        </w:rPr>
        <w:t>比例，住宅建</w:t>
      </w:r>
      <w:r>
        <w:rPr>
          <w:rFonts w:hint="eastAsia"/>
          <w:lang w:val="en-US"/>
        </w:rPr>
        <w:t>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分；。</w:t>
      </w:r>
    </w:p>
    <w:p>
      <w:pPr>
        <w:pStyle w:val="4"/>
        <w:numPr>
          <w:ilvl w:val="1"/>
          <w:numId w:val="2"/>
        </w:numPr>
      </w:pPr>
      <w:bookmarkStart w:id="21" w:name="_Toc16499899"/>
      <w:r>
        <w:rPr>
          <w:rFonts w:hint="eastAsia"/>
        </w:rPr>
        <w:t>遮阴概述</w:t>
      </w:r>
      <w:bookmarkEnd w:id="2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遮阴面积即户外活动场地中设有乔木、爬藤花架等遮阴设施所占面积所占的比例。户外活动场地包括：道路、庭院、广场、游憩场。而遮阴率计算中需要排除建筑阴影区。</w:t>
      </w:r>
    </w:p>
    <w:p>
      <w:pPr>
        <w:pStyle w:val="4"/>
        <w:numPr>
          <w:ilvl w:val="1"/>
          <w:numId w:val="2"/>
        </w:numPr>
      </w:pPr>
      <w:bookmarkStart w:id="22" w:name="_Toc16499900"/>
      <w:r>
        <w:rPr>
          <w:rFonts w:hint="eastAsia"/>
        </w:rPr>
        <w:t>计算方法</w:t>
      </w:r>
      <w:bookmarkEnd w:id="22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3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3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bookmarkEnd w:id="17"/>
    <w:p>
      <w:pPr>
        <w:pStyle w:val="2"/>
      </w:pPr>
      <w:bookmarkStart w:id="23" w:name="_Toc401318141"/>
      <w:bookmarkStart w:id="24" w:name="_Toc16499901"/>
      <w:r>
        <w:rPr>
          <w:rFonts w:hint="eastAsia"/>
        </w:rPr>
        <w:t>指标概览</w:t>
      </w:r>
      <w:bookmarkEnd w:id="23"/>
      <w:bookmarkEnd w:id="24"/>
    </w:p>
    <w:p>
      <w:pPr>
        <w:pStyle w:val="4"/>
      </w:pPr>
      <w:bookmarkStart w:id="25" w:name="_Toc16499902"/>
      <w:r>
        <w:rPr>
          <w:rFonts w:hint="eastAsia"/>
        </w:rPr>
        <w:t>建筑列表</w:t>
      </w:r>
      <w:bookmarkEnd w:id="2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4083.8</w:t>
            </w:r>
          </w:p>
        </w:tc>
        <w:tc>
          <w:tcPr>
            <w:vAlign w:val="center"/>
          </w:tcPr>
          <w:p>
            <w:r>
              <w:t>50.7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6" w:name="建筑列表"/>
      <w:bookmarkEnd w:id="26"/>
    </w:p>
    <w:p>
      <w:pPr>
        <w:pStyle w:val="4"/>
      </w:pPr>
      <w:bookmarkStart w:id="27" w:name="_Toc16499903"/>
      <w:r>
        <w:rPr>
          <w:rFonts w:hint="eastAsia"/>
        </w:rPr>
        <w:t>各类面积指标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83944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79860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1303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面积指标"/>
      <w:bookmarkEnd w:id="28"/>
    </w:p>
    <w:p>
      <w:pPr>
        <w:pStyle w:val="2"/>
      </w:pPr>
      <w:bookmarkStart w:id="29" w:name="_Toc16499904"/>
      <w:r>
        <w:rPr>
          <w:rFonts w:hint="eastAsia"/>
        </w:rPr>
        <w:t>计算结果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1302.8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计算结果"/>
      <w:bookmarkEnd w:id="30"/>
    </w:p>
    <w:p>
      <w:pPr>
        <w:pStyle w:val="2"/>
      </w:pPr>
      <w:bookmarkStart w:id="31" w:name="_Toc16499905"/>
      <w:r>
        <w:rPr>
          <w:rFonts w:hint="eastAsia"/>
        </w:rPr>
        <w:t>活动场地遮阴图</w:t>
      </w:r>
      <w:bookmarkEnd w:id="31"/>
    </w:p>
    <w:p>
      <w:pPr>
        <w:pStyle w:val="3"/>
        <w:ind w:firstLine="0" w:firstLineChars="0"/>
        <w:jc w:val="center"/>
        <w:rPr>
          <w:lang w:val="en-US"/>
        </w:rPr>
      </w:pPr>
      <w:bookmarkStart w:id="32" w:name="阴影平面图"/>
      <w:bookmarkEnd w:id="32"/>
      <w:r>
        <w:drawing>
          <wp:inline distT="0" distB="0" distL="0" distR="0">
            <wp:extent cx="5419725" cy="39433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0294" cy="39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16499906"/>
      <w:r>
        <w:rPr>
          <w:rFonts w:hint="eastAsia"/>
        </w:rPr>
        <w:t>评价结论</w:t>
      </w:r>
      <w:bookmarkEnd w:id="33"/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kern w:val="2"/>
          <w:szCs w:val="21"/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的8.2.9条款进行以上评价计算，得出本项目活动场地遮阴率的评分项得分，如下：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263"/>
        <w:gridCol w:w="2263"/>
        <w:gridCol w:w="22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总遮阴面积(㎡)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1302.8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4" w:name="评价结论"/>
      <w:bookmarkEnd w:id="34"/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2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725B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Company>ths</Company>
  <Pages>4</Pages>
  <Words>275</Words>
  <Characters>1570</Characters>
  <Lines>13</Lines>
  <Paragraphs>3</Paragraphs>
  <TotalTime>0</TotalTime>
  <ScaleCrop>false</ScaleCrop>
  <LinksUpToDate>false</LinksUpToDate>
  <CharactersWithSpaces>1842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2018-07-02T02:06:00Z</dcterms:created>
  <dc:creator>Jiangx</dc:creator>
  <cp:lastModifiedBy>333</cp:lastModifiedBy>
  <cp:lastPrinted>2411-12-31T16:00:00Z</cp:lastPrinted>
  <dcterms:modified xsi:type="dcterms:W3CDTF">2022-01-03T07:04:42Z</dcterms:modified>
  <dc:title>活动场地遮阴率计算书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80E5129685E64730AADAF22C6B47275B</vt:lpwstr>
  </property>
</Properties>
</file>