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土楼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泉州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黎明职业大学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福建省建筑设计院</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2021年01月03日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rPr>
          <w:lang w:val="en-US"/>
        </w:rP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855"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855"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"_Toc60583782"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项目概况</w:t>
      </w:r>
      <w:r>
        <w:tab/>
      </w:r>
      <w:r>
        <w:fldChar w:fldCharType="begin"/>
      </w:r>
      <w:r>
        <w:instrText xml:space="preserve"> PAGEREF _Toc60583782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"_Toc60583783" </w:instrText>
      </w:r>
      <w:r>
        <w:fldChar w:fldCharType="separate"/>
      </w:r>
      <w:r>
        <w:rPr>
          <w:rStyle w:val="26"/>
          <w:lang w:val="en-GB"/>
        </w:rPr>
        <w:t>1.1</w:t>
      </w:r>
      <w:r>
        <w:rPr>
          <w:rFonts w:asciiTheme="minorHAnsi" w:hAnsiTheme="minorHAnsi" w:eastAsiaTheme="minorEastAsia" w:cstheme="minorBidi"/>
          <w:szCs w:val="22"/>
        </w:rPr>
        <w:tab/>
      </w:r>
      <w:r>
        <w:rPr>
          <w:rStyle w:val="26"/>
          <w:rFonts w:hint="eastAsia"/>
        </w:rPr>
        <w:t>总平面图</w:t>
      </w:r>
      <w:r>
        <w:tab/>
      </w:r>
      <w:r>
        <w:fldChar w:fldCharType="begin"/>
      </w:r>
      <w:r>
        <w:instrText xml:space="preserve"> PAGEREF _Toc60583783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"_Toc60583784" </w:instrText>
      </w:r>
      <w:r>
        <w:fldChar w:fldCharType="separate"/>
      </w:r>
      <w:r>
        <w:rPr>
          <w:rStyle w:val="26"/>
          <w:lang w:val="en-GB"/>
        </w:rPr>
        <w:t>1.2</w:t>
      </w:r>
      <w:r>
        <w:rPr>
          <w:rFonts w:asciiTheme="minorHAnsi" w:hAnsiTheme="minorHAnsi" w:eastAsiaTheme="minorEastAsia" w:cstheme="minorBidi"/>
          <w:szCs w:val="22"/>
        </w:rPr>
        <w:tab/>
      </w:r>
      <w:r>
        <w:rPr>
          <w:rStyle w:val="26"/>
          <w:rFonts w:hint="eastAsia"/>
        </w:rPr>
        <w:t>三维视图</w:t>
      </w:r>
      <w:r>
        <w:tab/>
      </w:r>
      <w:r>
        <w:fldChar w:fldCharType="begin"/>
      </w:r>
      <w:r>
        <w:instrText xml:space="preserve"> PAGEREF _Toc60583784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"_Toc60583785"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计算依据</w:t>
      </w:r>
      <w:r>
        <w:tab/>
      </w:r>
      <w:r>
        <w:fldChar w:fldCharType="begin"/>
      </w:r>
      <w:r>
        <w:instrText xml:space="preserve"> PAGEREF _Toc60583785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"_Toc60583786"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参考标准</w:t>
      </w:r>
      <w:r>
        <w:tab/>
      </w:r>
      <w:r>
        <w:fldChar w:fldCharType="begin"/>
      </w:r>
      <w:r>
        <w:instrText xml:space="preserve"> PAGEREF _Toc60583786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"_Toc60583787"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计算原理</w:t>
      </w:r>
      <w:r>
        <w:tab/>
      </w:r>
      <w:r>
        <w:fldChar w:fldCharType="begin"/>
      </w:r>
      <w:r>
        <w:instrText xml:space="preserve"> PAGEREF _Toc60583787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"_Toc60583788" </w:instrText>
      </w:r>
      <w:r>
        <w:fldChar w:fldCharType="separate"/>
      </w:r>
      <w:r>
        <w:rPr>
          <w:rStyle w:val="26"/>
          <w:lang w:val="en-GB"/>
        </w:rPr>
        <w:t>4.1</w:t>
      </w:r>
      <w:r>
        <w:rPr>
          <w:rFonts w:asciiTheme="minorHAnsi" w:hAnsiTheme="minorHAnsi" w:eastAsiaTheme="minorEastAsia" w:cstheme="minorBidi"/>
          <w:szCs w:val="22"/>
        </w:rPr>
        <w:tab/>
      </w:r>
      <w:r>
        <w:rPr>
          <w:rStyle w:val="26"/>
          <w:rFonts w:hint="eastAsia"/>
        </w:rPr>
        <w:t>风场计算域</w:t>
      </w:r>
      <w:r>
        <w:tab/>
      </w:r>
      <w:r>
        <w:fldChar w:fldCharType="begin"/>
      </w:r>
      <w:r>
        <w:instrText xml:space="preserve"> PAGEREF _Toc60583788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"_Toc60583789" </w:instrText>
      </w:r>
      <w:r>
        <w:fldChar w:fldCharType="separate"/>
      </w:r>
      <w:r>
        <w:rPr>
          <w:rStyle w:val="26"/>
          <w:lang w:val="en-GB"/>
        </w:rPr>
        <w:t>4.1.1</w:t>
      </w:r>
      <w:r>
        <w:rPr>
          <w:rFonts w:asciiTheme="minorHAnsi" w:hAnsiTheme="minorHAnsi" w:eastAsiaTheme="minorEastAsia" w:cstheme="minorBidi"/>
          <w:szCs w:val="22"/>
        </w:rPr>
        <w:tab/>
      </w:r>
      <w:r>
        <w:rPr>
          <w:rStyle w:val="26"/>
          <w:rFonts w:hint="eastAsia"/>
        </w:rPr>
        <w:t>夏季工况风场计算域</w:t>
      </w:r>
      <w:r>
        <w:tab/>
      </w:r>
      <w:r>
        <w:fldChar w:fldCharType="begin"/>
      </w:r>
      <w:r>
        <w:instrText xml:space="preserve"> PAGEREF _Toc60583789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rPr>
          <w:rStyle w:val="26"/>
        </w:rPr>
        <w:fldChar w:fldCharType="begin"/>
      </w:r>
      <w:r>
        <w:rPr>
          <w:rStyle w:val="26"/>
        </w:rPr>
        <w:instrText xml:space="preserve"> </w:instrText>
      </w:r>
      <w:r>
        <w:instrText xml:space="preserve">HYPERLINK \l "_Toc60583790"</w:instrText>
      </w:r>
      <w:r>
        <w:rPr>
          <w:rStyle w:val="26"/>
        </w:rPr>
        <w:instrText xml:space="preserve"> </w:instrText>
      </w:r>
      <w:r>
        <w:rPr>
          <w:rStyle w:val="26"/>
        </w:rPr>
        <w:fldChar w:fldCharType="separate"/>
      </w:r>
      <w:r>
        <w:rPr>
          <w:rStyle w:val="26"/>
          <w:lang w:val="en-GB"/>
        </w:rPr>
        <w:t>4.2</w:t>
      </w:r>
      <w:r>
        <w:rPr>
          <w:rFonts w:asciiTheme="minorHAnsi" w:hAnsiTheme="minorHAnsi" w:eastAsiaTheme="minorEastAsia" w:cstheme="minorBidi"/>
          <w:szCs w:val="22"/>
        </w:rPr>
        <w:tab/>
      </w:r>
      <w:r>
        <w:rPr>
          <w:rStyle w:val="26"/>
          <w:rFonts w:hint="eastAsia"/>
        </w:rPr>
        <w:t>网格划分</w:t>
      </w:r>
      <w:r>
        <w:tab/>
      </w:r>
      <w:r>
        <w:fldChar w:fldCharType="begin"/>
      </w:r>
      <w:r>
        <w:instrText xml:space="preserve"> PAGEREF _Toc60583790 \h </w:instrText>
      </w:r>
      <w:r>
        <w:fldChar w:fldCharType="separate"/>
      </w:r>
      <w:r>
        <w:t>7</w:t>
      </w:r>
      <w:r>
        <w:fldChar w:fldCharType="end"/>
      </w:r>
      <w:r>
        <w:rPr>
          <w:rStyle w:val="26"/>
        </w:rPr>
        <w:fldChar w:fldCharType="end"/>
      </w:r>
    </w:p>
    <w:p>
      <w:pPr>
        <w:pStyle w:val="20"/>
        <w:rPr>
          <w:rFonts w:asciiTheme="minorHAnsi" w:hAnsiTheme="minorHAnsi" w:eastAsiaTheme="minorEastAsia" w:cstheme="minorBidi"/>
          <w:szCs w:val="22"/>
        </w:rPr>
      </w:pPr>
      <w:r>
        <w:rPr>
          <w:rStyle w:val="26"/>
        </w:rPr>
        <w:fldChar w:fldCharType="begin"/>
      </w:r>
      <w:r>
        <w:rPr>
          <w:rStyle w:val="26"/>
        </w:rPr>
        <w:instrText xml:space="preserve"> </w:instrText>
      </w:r>
      <w:r>
        <w:instrText xml:space="preserve">HYPERLINK \l "_Toc60583791"</w:instrText>
      </w:r>
      <w:r>
        <w:rPr>
          <w:rStyle w:val="26"/>
        </w:rPr>
        <w:instrText xml:space="preserve"> </w:instrText>
      </w:r>
      <w:r>
        <w:rPr>
          <w:rStyle w:val="26"/>
        </w:rPr>
        <w:fldChar w:fldCharType="separate"/>
      </w:r>
      <w:r>
        <w:rPr>
          <w:rStyle w:val="26"/>
          <w:lang w:val="en-GB"/>
        </w:rPr>
        <w:t>4.3</w:t>
      </w:r>
      <w:r>
        <w:rPr>
          <w:rFonts w:asciiTheme="minorHAnsi" w:hAnsiTheme="minorHAnsi" w:eastAsiaTheme="minorEastAsia" w:cstheme="minorBidi"/>
          <w:szCs w:val="22"/>
        </w:rPr>
        <w:tab/>
      </w:r>
      <w:r>
        <w:rPr>
          <w:rStyle w:val="26"/>
          <w:rFonts w:hint="eastAsia"/>
        </w:rPr>
        <w:t>边界条件</w:t>
      </w:r>
      <w:r>
        <w:tab/>
      </w:r>
      <w:r>
        <w:fldChar w:fldCharType="begin"/>
      </w:r>
      <w:r>
        <w:instrText xml:space="preserve"> PAGEREF _Toc60583791 \h </w:instrText>
      </w:r>
      <w:r>
        <w:fldChar w:fldCharType="separate"/>
      </w:r>
      <w:r>
        <w:t>8</w:t>
      </w:r>
      <w:r>
        <w:fldChar w:fldCharType="end"/>
      </w:r>
      <w:r>
        <w:rPr>
          <w:rStyle w:val="26"/>
        </w:rPr>
        <w:fldChar w:fldCharType="end"/>
      </w:r>
    </w:p>
    <w:p>
      <w:pPr>
        <w:pStyle w:val="15"/>
        <w:rPr>
          <w:rFonts w:asciiTheme="minorHAnsi" w:hAnsiTheme="minorHAnsi" w:eastAsiaTheme="minorEastAsia" w:cstheme="minorBidi"/>
          <w:szCs w:val="22"/>
        </w:rPr>
      </w:pPr>
      <w:r>
        <w:fldChar w:fldCharType="begin"/>
      </w:r>
      <w:r>
        <w:instrText xml:space="preserve"> HYPERLINK \l "_Toc60583792" </w:instrText>
      </w:r>
      <w:r>
        <w:fldChar w:fldCharType="separate"/>
      </w:r>
      <w:r>
        <w:rPr>
          <w:rStyle w:val="26"/>
          <w:lang w:val="en-GB"/>
        </w:rPr>
        <w:t>4.3.1</w:t>
      </w:r>
      <w:r>
        <w:rPr>
          <w:rFonts w:asciiTheme="minorHAnsi" w:hAnsiTheme="minorHAnsi" w:eastAsiaTheme="minorEastAsia" w:cstheme="minorBidi"/>
          <w:szCs w:val="22"/>
        </w:rPr>
        <w:tab/>
      </w:r>
      <w:r>
        <w:rPr>
          <w:rStyle w:val="26"/>
          <w:rFonts w:hint="eastAsia"/>
        </w:rPr>
        <w:t>入口与出口边界条件</w:t>
      </w:r>
      <w:r>
        <w:tab/>
      </w:r>
      <w:r>
        <w:fldChar w:fldCharType="begin"/>
      </w:r>
      <w:r>
        <w:instrText xml:space="preserve"> PAGEREF _Toc60583792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"_Toc60583793" </w:instrText>
      </w:r>
      <w:r>
        <w:fldChar w:fldCharType="separate"/>
      </w:r>
      <w:r>
        <w:rPr>
          <w:rStyle w:val="26"/>
          <w:lang w:val="en-GB"/>
        </w:rPr>
        <w:t>4.3.2</w:t>
      </w:r>
      <w:r>
        <w:rPr>
          <w:rFonts w:asciiTheme="minorHAnsi" w:hAnsiTheme="minorHAnsi" w:eastAsiaTheme="minorEastAsia" w:cstheme="minorBidi"/>
          <w:szCs w:val="22"/>
        </w:rPr>
        <w:tab/>
      </w:r>
      <w:r>
        <w:rPr>
          <w:rStyle w:val="26"/>
          <w:rFonts w:hint="eastAsia"/>
        </w:rPr>
        <w:t>壁面边界条件</w:t>
      </w:r>
      <w:r>
        <w:tab/>
      </w:r>
      <w:r>
        <w:fldChar w:fldCharType="begin"/>
      </w:r>
      <w:r>
        <w:instrText xml:space="preserve"> PAGEREF _Toc60583793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"_Toc60583794" </w:instrText>
      </w:r>
      <w:r>
        <w:fldChar w:fldCharType="separate"/>
      </w:r>
      <w:r>
        <w:rPr>
          <w:rStyle w:val="26"/>
          <w:lang w:val="en-GB"/>
        </w:rPr>
        <w:t>4.4</w:t>
      </w:r>
      <w:r>
        <w:rPr>
          <w:rFonts w:asciiTheme="minorHAnsi" w:hAnsiTheme="minorHAnsi" w:eastAsiaTheme="minorEastAsia" w:cstheme="minorBidi"/>
          <w:szCs w:val="22"/>
        </w:rPr>
        <w:tab/>
      </w:r>
      <w:r>
        <w:rPr>
          <w:rStyle w:val="26"/>
          <w:rFonts w:hint="eastAsia"/>
        </w:rPr>
        <w:t>湍流模型</w:t>
      </w:r>
      <w:r>
        <w:tab/>
      </w:r>
      <w:r>
        <w:fldChar w:fldCharType="begin"/>
      </w:r>
      <w:r>
        <w:instrText xml:space="preserve"> PAGEREF _Toc60583794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"_Toc60583795" </w:instrText>
      </w:r>
      <w:r>
        <w:fldChar w:fldCharType="separate"/>
      </w:r>
      <w:r>
        <w:rPr>
          <w:rStyle w:val="26"/>
          <w:lang w:val="en-GB"/>
        </w:rPr>
        <w:t>4.5</w:t>
      </w:r>
      <w:r>
        <w:rPr>
          <w:rFonts w:asciiTheme="minorHAnsi" w:hAnsiTheme="minorHAnsi" w:eastAsiaTheme="minorEastAsia" w:cstheme="minorBidi"/>
          <w:szCs w:val="22"/>
        </w:rPr>
        <w:tab/>
      </w:r>
      <w:r>
        <w:rPr>
          <w:rStyle w:val="26"/>
          <w:rFonts w:hint="eastAsia"/>
        </w:rPr>
        <w:t>求解计算</w:t>
      </w:r>
      <w:r>
        <w:tab/>
      </w:r>
      <w:r>
        <w:fldChar w:fldCharType="begin"/>
      </w:r>
      <w:r>
        <w:instrText xml:space="preserve"> PAGEREF _Toc60583795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"_Toc60583796" </w:instrText>
      </w:r>
      <w:r>
        <w:fldChar w:fldCharType="separate"/>
      </w:r>
      <w:r>
        <w:rPr>
          <w:rStyle w:val="26"/>
          <w:lang w:val="en-GB"/>
        </w:rPr>
        <w:t>4.6</w:t>
      </w:r>
      <w:r>
        <w:rPr>
          <w:rFonts w:asciiTheme="minorHAnsi" w:hAnsiTheme="minorHAnsi" w:eastAsiaTheme="minorEastAsia" w:cstheme="minorBidi"/>
          <w:szCs w:val="22"/>
        </w:rPr>
        <w:tab/>
      </w:r>
      <w:r>
        <w:rPr>
          <w:rStyle w:val="26"/>
          <w:rFonts w:hint="eastAsia"/>
        </w:rPr>
        <w:t>风速放大系数计算</w:t>
      </w:r>
      <w:r>
        <w:tab/>
      </w:r>
      <w:r>
        <w:fldChar w:fldCharType="begin"/>
      </w:r>
      <w:r>
        <w:instrText xml:space="preserve"> PAGEREF _Toc60583796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"_Toc60583797"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结果分析</w:t>
      </w:r>
      <w:r>
        <w:tab/>
      </w:r>
      <w:r>
        <w:fldChar w:fldCharType="begin"/>
      </w:r>
      <w:r>
        <w:instrText xml:space="preserve"> PAGEREF _Toc60583797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"_Toc60583798" </w:instrText>
      </w:r>
      <w:r>
        <w:fldChar w:fldCharType="separate"/>
      </w:r>
      <w:r>
        <w:rPr>
          <w:rStyle w:val="26"/>
          <w:lang w:val="en-GB"/>
        </w:rPr>
        <w:t>5.1</w:t>
      </w:r>
      <w:r>
        <w:rPr>
          <w:rFonts w:asciiTheme="minorHAnsi" w:hAnsiTheme="minorHAnsi" w:eastAsiaTheme="minorEastAsia" w:cstheme="minorBidi"/>
          <w:szCs w:val="22"/>
        </w:rPr>
        <w:tab/>
      </w:r>
      <w:r>
        <w:rPr>
          <w:rStyle w:val="26"/>
          <w:rFonts w:hint="eastAsia"/>
        </w:rPr>
        <w:t>工况表</w:t>
      </w:r>
      <w:r>
        <w:tab/>
      </w:r>
      <w:r>
        <w:fldChar w:fldCharType="begin"/>
      </w:r>
      <w:r>
        <w:instrText xml:space="preserve"> PAGEREF _Toc60583798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"_Toc60583799" </w:instrText>
      </w:r>
      <w:r>
        <w:fldChar w:fldCharType="separate"/>
      </w:r>
      <w:r>
        <w:rPr>
          <w:rStyle w:val="26"/>
          <w:lang w:val="en-GB"/>
        </w:rPr>
        <w:t>5.2</w:t>
      </w:r>
      <w:r>
        <w:rPr>
          <w:rFonts w:asciiTheme="minorHAnsi" w:hAnsiTheme="minorHAnsi" w:eastAsiaTheme="minorEastAsia" w:cstheme="minorBidi"/>
          <w:szCs w:val="22"/>
        </w:rPr>
        <w:tab/>
      </w:r>
      <w:r>
        <w:rPr>
          <w:rStyle w:val="26"/>
          <w:rFonts w:hint="eastAsia"/>
        </w:rPr>
        <w:t>夏季工况</w:t>
      </w:r>
      <w:r>
        <w:tab/>
      </w:r>
      <w:r>
        <w:fldChar w:fldCharType="begin"/>
      </w:r>
      <w:r>
        <w:instrText xml:space="preserve"> PAGEREF _Toc60583799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"_Toc60583800" </w:instrText>
      </w:r>
      <w:r>
        <w:fldChar w:fldCharType="separate"/>
      </w:r>
      <w:r>
        <w:rPr>
          <w:rStyle w:val="26"/>
          <w:lang w:val="en-GB"/>
        </w:rPr>
        <w:t>5.2.1</w:t>
      </w:r>
      <w:r>
        <w:rPr>
          <w:rFonts w:asciiTheme="minorHAnsi" w:hAnsiTheme="minorHAnsi" w:eastAsiaTheme="minorEastAsia" w:cstheme="minorBidi"/>
          <w:szCs w:val="22"/>
        </w:rPr>
        <w:tab/>
      </w:r>
      <w:r>
        <w:rPr>
          <w:rStyle w:val="26"/>
          <w:rFonts w:hint="eastAsia"/>
        </w:rPr>
        <w:t>无风区计算分析</w:t>
      </w:r>
      <w:r>
        <w:tab/>
      </w:r>
      <w:r>
        <w:fldChar w:fldCharType="begin"/>
      </w:r>
      <w:r>
        <w:instrText xml:space="preserve"> PAGEREF _Toc60583800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"_Toc60583801" </w:instrText>
      </w:r>
      <w:r>
        <w:fldChar w:fldCharType="separate"/>
      </w:r>
      <w:r>
        <w:rPr>
          <w:rStyle w:val="26"/>
          <w:lang w:val="en-GB"/>
        </w:rPr>
        <w:t>5.2.2</w:t>
      </w:r>
      <w:r>
        <w:rPr>
          <w:rFonts w:asciiTheme="minorHAnsi" w:hAnsiTheme="minorHAnsi" w:eastAsiaTheme="minorEastAsia" w:cstheme="minorBidi"/>
          <w:szCs w:val="22"/>
        </w:rPr>
        <w:tab/>
      </w:r>
      <w:r>
        <w:rPr>
          <w:rStyle w:val="26"/>
          <w:rFonts w:hint="eastAsia"/>
        </w:rPr>
        <w:t>旋涡区分析</w:t>
      </w:r>
      <w:r>
        <w:tab/>
      </w:r>
      <w:r>
        <w:fldChar w:fldCharType="begin"/>
      </w:r>
      <w:r>
        <w:instrText xml:space="preserve"> PAGEREF _Toc60583801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"_Toc60583802" </w:instrText>
      </w:r>
      <w:r>
        <w:fldChar w:fldCharType="separate"/>
      </w:r>
      <w:r>
        <w:rPr>
          <w:rStyle w:val="26"/>
          <w:lang w:val="en-GB"/>
        </w:rPr>
        <w:t>5.2.3</w:t>
      </w:r>
      <w:r>
        <w:rPr>
          <w:rFonts w:asciiTheme="minorHAnsi" w:hAnsiTheme="minorHAnsi" w:eastAsiaTheme="minorEastAsia" w:cstheme="minorBidi"/>
          <w:szCs w:val="22"/>
        </w:rPr>
        <w:tab/>
      </w:r>
      <w:r>
        <w:rPr>
          <w:rStyle w:val="26"/>
          <w:rFonts w:hint="eastAsia"/>
        </w:rPr>
        <w:t>人行区域旋涡区</w:t>
      </w:r>
      <w:r>
        <w:rPr>
          <w:rStyle w:val="26"/>
        </w:rPr>
        <w:t>/</w:t>
      </w:r>
      <w:r>
        <w:rPr>
          <w:rStyle w:val="26"/>
          <w:rFonts w:hint="eastAsia"/>
        </w:rPr>
        <w:t>无风区达标判定</w:t>
      </w:r>
      <w:r>
        <w:tab/>
      </w:r>
      <w:r>
        <w:fldChar w:fldCharType="begin"/>
      </w:r>
      <w:r>
        <w:instrText xml:space="preserve"> PAGEREF _Toc60583802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"_Toc60583803" </w:instrText>
      </w:r>
      <w:r>
        <w:fldChar w:fldCharType="separate"/>
      </w:r>
      <w:r>
        <w:rPr>
          <w:rStyle w:val="26"/>
          <w:lang w:val="en-GB"/>
        </w:rPr>
        <w:t>5.2.4</w:t>
      </w:r>
      <w:r>
        <w:rPr>
          <w:rFonts w:asciiTheme="minorHAnsi" w:hAnsiTheme="minorHAnsi" w:eastAsiaTheme="minorEastAsia" w:cstheme="minorBidi"/>
          <w:szCs w:val="22"/>
        </w:rPr>
        <w:tab/>
      </w:r>
      <w:r>
        <w:rPr>
          <w:rStyle w:val="26"/>
          <w:rFonts w:hint="eastAsia"/>
        </w:rPr>
        <w:t>外窗内外表面风压差达标分析</w:t>
      </w:r>
      <w:r>
        <w:tab/>
      </w:r>
      <w:r>
        <w:fldChar w:fldCharType="begin"/>
      </w:r>
      <w:r>
        <w:instrText xml:space="preserve"> PAGEREF _Toc60583803 \h </w:instrText>
      </w:r>
      <w:r>
        <w:fldChar w:fldCharType="separate"/>
      </w:r>
      <w:r>
        <w:t>14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"_Toc60583804" </w:instrText>
      </w:r>
      <w:r>
        <w:fldChar w:fldCharType="separate"/>
      </w:r>
      <w:r>
        <w:rPr>
          <w:rStyle w:val="26"/>
          <w:lang w:val="en-GB"/>
        </w:rPr>
        <w:t>5.3</w:t>
      </w:r>
      <w:r>
        <w:rPr>
          <w:rFonts w:asciiTheme="minorHAnsi" w:hAnsiTheme="minorHAnsi" w:eastAsiaTheme="minorEastAsia" w:cstheme="minorBidi"/>
          <w:szCs w:val="22"/>
        </w:rPr>
        <w:tab/>
      </w:r>
      <w:r>
        <w:rPr>
          <w:rStyle w:val="26"/>
          <w:rFonts w:hint="eastAsia"/>
        </w:rPr>
        <w:t>结论</w:t>
      </w:r>
      <w:r>
        <w:tab/>
      </w:r>
      <w:r>
        <w:fldChar w:fldCharType="begin"/>
      </w:r>
      <w:r>
        <w:instrText xml:space="preserve"> PAGEREF _Toc60583804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"_Toc60583805" </w:instrText>
      </w:r>
      <w:r>
        <w:fldChar w:fldCharType="separate"/>
      </w:r>
      <w:r>
        <w:rPr>
          <w:rStyle w:val="26"/>
          <w:lang w:val="en-GB"/>
        </w:rPr>
        <w:t>5.3.1</w:t>
      </w:r>
      <w:r>
        <w:rPr>
          <w:rFonts w:asciiTheme="minorHAnsi" w:hAnsiTheme="minorHAnsi" w:eastAsiaTheme="minorEastAsia" w:cstheme="minorBidi"/>
          <w:szCs w:val="22"/>
        </w:rPr>
        <w:tab/>
      </w:r>
      <w:r>
        <w:rPr>
          <w:rStyle w:val="26"/>
          <w:rFonts w:hint="eastAsia"/>
        </w:rPr>
        <w:t>过渡季、夏季工况达标判断</w:t>
      </w:r>
      <w:r>
        <w:tab/>
      </w:r>
      <w:r>
        <w:fldChar w:fldCharType="begin"/>
      </w:r>
      <w:r>
        <w:instrText xml:space="preserve"> PAGEREF _Toc60583805 \h </w:instrText>
      </w:r>
      <w:r>
        <w:fldChar w:fldCharType="separate"/>
      </w:r>
      <w:r>
        <w:t>16</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60583782"/>
      <w:bookmarkStart w:id="9" w:name="_Toc45210875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60583783"/>
      <w:bookmarkStart w:id="12" w:name="_Toc452108760"/>
      <w:r>
        <w:rPr>
          <w:rFonts w:hint="eastAsia"/>
        </w:rPr>
        <w:t>总</w:t>
      </w:r>
      <w:r>
        <w:t>平面图</w:t>
      </w:r>
      <w:bookmarkEnd w:id="11"/>
      <w:bookmarkEnd w:id="12"/>
    </w:p>
    <w:p>
      <w:pPr>
        <w:pStyle w:val="3"/>
        <w:ind w:firstLine="0" w:firstLineChars="0"/>
        <w:jc w:val="center"/>
        <w:rPr>
          <w:lang w:val="en-US"/>
        </w:rPr>
      </w:pPr>
      <w:r>
        <w:rPr>
          <w:rFonts w:hint="eastAsia"/>
          <w:lang w:val="en-US"/>
        </w:rPr>
        <w:t xml:space="preserve"> </w:t>
      </w:r>
      <w:bookmarkStart w:id="13" w:name="总平面图"/>
      <w:bookmarkEnd w:id="13"/>
      <w:r>
        <w:rPr>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4" w:name="_Toc60583784"/>
      <w:bookmarkStart w:id="15" w:name="_Toc452108761"/>
      <w:r>
        <w:rPr>
          <w:rFonts w:hint="eastAsia"/>
        </w:rPr>
        <w:t>三</w:t>
      </w:r>
      <w:r>
        <w:t>维视图</w:t>
      </w:r>
      <w:bookmarkEnd w:id="14"/>
      <w:bookmarkEnd w:id="15"/>
    </w:p>
    <w:p>
      <w:pPr>
        <w:pStyle w:val="3"/>
        <w:ind w:firstLine="0" w:firstLineChars="0"/>
        <w:jc w:val="center"/>
        <w:rPr>
          <w:lang w:val="en-US"/>
        </w:rPr>
      </w:pPr>
      <w:r>
        <w:rPr>
          <w:rFonts w:hint="eastAsia"/>
          <w:lang w:val="en-US"/>
        </w:rPr>
        <w:t xml:space="preserve"> </w:t>
      </w:r>
      <w:bookmarkStart w:id="16" w:name="三维视图"/>
      <w:bookmarkEnd w:id="16"/>
      <w:r>
        <w:rPr>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_Toc452108762"/>
      <w:bookmarkStart w:id="18" w:name="TitleFormat"/>
      <w:bookmarkStart w:id="19" w:name="_Toc60583785"/>
      <w:r>
        <w:rPr>
          <w:rFonts w:hint="eastAsia"/>
        </w:rPr>
        <w:t>计算</w:t>
      </w:r>
      <w:r>
        <w:t>依据</w:t>
      </w:r>
      <w:bookmarkEnd w:id="17"/>
      <w:bookmarkEnd w:id="18"/>
      <w:bookmarkEnd w:id="19"/>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50378—2014</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0" w:name="_Toc452108763"/>
      <w:bookmarkStart w:id="21" w:name="_Toc60583786"/>
      <w:r>
        <w:rPr>
          <w:rFonts w:hint="eastAsia"/>
        </w:rPr>
        <w:t>参考</w:t>
      </w:r>
      <w:r>
        <w:t>标准</w:t>
      </w:r>
      <w:bookmarkEnd w:id="20"/>
      <w:bookmarkEnd w:id="21"/>
    </w:p>
    <w:p>
      <w:pPr>
        <w:pStyle w:val="3"/>
        <w:ind w:firstLine="420"/>
        <w:rPr>
          <w:lang w:val="en-US"/>
        </w:rPr>
      </w:pPr>
      <w:r>
        <w:rPr>
          <w:rFonts w:hint="eastAsia"/>
          <w:lang w:val="en-US"/>
        </w:rPr>
        <w:t>室外风环境评价依据为《绿色建筑评价标准》（GB/T 50378-2014）中有关室外风环境的条目要求。具体要求如下：</w:t>
      </w:r>
    </w:p>
    <w:p>
      <w:pPr>
        <w:pStyle w:val="3"/>
        <w:ind w:firstLine="420"/>
        <w:rPr>
          <w:lang w:val="en-US"/>
        </w:rPr>
      </w:pPr>
      <w:bookmarkStart w:id="22" w:name="_Toc451698935"/>
      <w:bookmarkStart w:id="23" w:name="_Toc452108764"/>
      <w:bookmarkStart w:id="24" w:name="_Toc451436145"/>
      <w:r>
        <w:rPr>
          <w:rFonts w:hint="eastAsia"/>
          <w:lang w:val="en-US"/>
        </w:rPr>
        <w:t>4.2.6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冬季典型风速和风向条件下，建筑物周围人行区风速低于5m/s，且室外风速放大系数小于2，得2分；除迎风第一排建筑外，建筑迎风面与背风面表面风压差不超过5Pa，得1分。</w:t>
      </w:r>
    </w:p>
    <w:p>
      <w:pPr>
        <w:pStyle w:val="3"/>
        <w:ind w:firstLine="420"/>
        <w:rPr>
          <w:lang w:val="en-US"/>
        </w:rPr>
      </w:pPr>
      <w:r>
        <w:rPr>
          <w:rFonts w:hint="eastAsia"/>
          <w:lang w:val="en-US"/>
        </w:rPr>
        <w:t>2  过渡季、夏季典型风速和风向条件下，场地内人活动区不出现涡旋或无风区，得2分；50%以上可开启外窗室内外表面的风压差大于0.5Pa，得1分。</w:t>
      </w:r>
    </w:p>
    <w:p>
      <w:pPr>
        <w:pStyle w:val="2"/>
      </w:pPr>
      <w:bookmarkStart w:id="25" w:name="_Toc60583787"/>
      <w:r>
        <w:rPr>
          <w:rFonts w:hint="eastAsia"/>
        </w:rPr>
        <w:t>计算原理</w:t>
      </w:r>
      <w:bookmarkEnd w:id="22"/>
      <w:bookmarkEnd w:id="23"/>
      <w:bookmarkEnd w:id="25"/>
    </w:p>
    <w:p>
      <w:pPr>
        <w:pStyle w:val="4"/>
        <w:numPr>
          <w:ilvl w:val="1"/>
          <w:numId w:val="3"/>
        </w:numPr>
      </w:pPr>
      <w:bookmarkStart w:id="26" w:name="_Toc60583788"/>
      <w:bookmarkStart w:id="27" w:name="_Toc509844740"/>
      <w:bookmarkStart w:id="28" w:name="_Toc451698937"/>
      <w:bookmarkStart w:id="29" w:name="_Toc452108765"/>
      <w:r>
        <w:rPr>
          <w:rFonts w:hint="eastAsia"/>
        </w:rPr>
        <w:t>风场计算域</w:t>
      </w:r>
      <w:bookmarkEnd w:id="26"/>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0" w:name="_Toc60583789"/>
      <w:r>
        <w:rPr>
          <w:rFonts w:hint="eastAsia"/>
        </w:rPr>
        <w:t>夏季工况风场计算域</w:t>
      </w:r>
      <w:bookmarkEnd w:id="3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1" w:name="冬季风场X尺寸"/>
            <w:r>
              <w:t>456</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Y尺寸"/>
            <w:r>
              <w:t>498</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3" w:name="冬季风场Z尺寸"/>
            <w:r>
              <w:t>142</w:t>
            </w:r>
            <w:bookmarkEnd w:id="33"/>
          </w:p>
        </w:tc>
      </w:tr>
    </w:tbl>
    <w:p>
      <w:pPr>
        <w:pStyle w:val="3"/>
        <w:ind w:firstLine="0" w:firstLineChars="0"/>
        <w:jc w:val="center"/>
        <w:rPr>
          <w:lang w:val="en-US"/>
        </w:rPr>
      </w:pPr>
      <w:bookmarkStart w:id="34" w:name="冬季工况风场计算域图示"/>
      <w:bookmarkEnd w:id="34"/>
      <w:r>
        <w:rPr>
          <w:lang w:val="en-US"/>
        </w:rP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5" w:name="计算域"/>
      <w:bookmarkEnd w:id="35"/>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6" w:name="_Toc509844741"/>
      <w:bookmarkStart w:id="37" w:name="_Toc60583790"/>
      <w:r>
        <w:rPr>
          <w:rFonts w:hint="eastAsia"/>
        </w:rPr>
        <w:t>网格划分</w:t>
      </w:r>
      <w:bookmarkEnd w:id="36"/>
      <w:bookmarkEnd w:id="37"/>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8" w:name="OLE_LINK277"/>
      <w:bookmarkStart w:id="39" w:name="OLE_LINK276"/>
      <w:r>
        <w:rPr>
          <w:rFonts w:hint="eastAsia"/>
        </w:rPr>
        <w:t>1）普通网格：指除靠近地面和建筑以外的网格，通常不需要特别加密处理</w:t>
      </w:r>
    </w:p>
    <w:p>
      <w:pPr>
        <w:pStyle w:val="12"/>
        <w:numPr>
          <w:ilvl w:val="0"/>
          <w:numId w:val="4"/>
        </w:numPr>
        <w:spacing w:before="156"/>
      </w:pPr>
      <w:bookmarkStart w:id="40" w:name="OLE_LINK15"/>
      <w:r>
        <w:rPr>
          <w:rFonts w:hint="eastAsia"/>
        </w:rPr>
        <w:t>分弧精度：对于有圆弧特征的建筑局部，把圆弧分解为线段时，弦到弧的最大距离；</w:t>
      </w:r>
    </w:p>
    <w:bookmarkEnd w:id="40"/>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38"/>
      <w:bookmarkEnd w:id="39"/>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1" w:name="冬季网格总数"/>
            <w:r>
              <w:t>675063</w:t>
            </w:r>
            <w:bookmarkEnd w:id="4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2" w:name="冬季分弧精度"/>
            <w:r>
              <w:t>1.00</w:t>
            </w:r>
            <w:bookmarkEnd w:id="4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3" w:name="冬季初始网格"/>
            <w:r>
              <w:t>8.0</w:t>
            </w:r>
            <w:bookmarkEnd w:id="4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4" w:name="冬季最小细分级数"/>
            <w:r>
              <w:t>1</w:t>
            </w:r>
            <w:bookmarkEnd w:id="4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5" w:name="冬季最大细分级数"/>
            <w:r>
              <w:t>2</w:t>
            </w:r>
            <w:bookmarkEnd w:id="4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6" w:name="冬季远场细分级数"/>
            <w:r>
              <w:t>1</w:t>
            </w:r>
            <w:bookmarkEnd w:id="4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7" w:name="冬季近场细分级数"/>
            <w:r>
              <w:t>2</w:t>
            </w:r>
            <w:bookmarkEnd w:id="4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8" w:name="冬季地面附面层数"/>
            <w:r>
              <w:t>2</w:t>
            </w:r>
            <w:bookmarkEnd w:id="4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建筑附面层数"/>
            <w:r>
              <w:t>0</w:t>
            </w:r>
            <w:bookmarkEnd w:id="49"/>
          </w:p>
        </w:tc>
      </w:tr>
    </w:tbl>
    <w:p>
      <w:pPr>
        <w:rPr>
          <w:szCs w:val="21"/>
          <w:lang w:val="en-US"/>
        </w:rPr>
      </w:pPr>
    </w:p>
    <w:p>
      <w:pPr>
        <w:pStyle w:val="3"/>
        <w:ind w:firstLine="630" w:firstLineChars="300"/>
        <w:rPr>
          <w:rFonts w:ascii="黑体" w:hAnsi="黑体" w:eastAsia="黑体"/>
          <w:szCs w:val="20"/>
        </w:rPr>
      </w:pPr>
      <w:bookmarkStart w:id="50" w:name="网格划分信息"/>
      <w:bookmarkEnd w:id="50"/>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51" w:name="_Toc60583791"/>
      <w:bookmarkStart w:id="52" w:name="_Toc509844742"/>
      <w:r>
        <w:rPr>
          <w:rFonts w:hint="eastAsia"/>
        </w:rPr>
        <w:t>边界条件</w:t>
      </w:r>
      <w:bookmarkEnd w:id="51"/>
      <w:bookmarkEnd w:id="5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3" w:name="_Toc509844743"/>
      <w:bookmarkStart w:id="54" w:name="_Toc60583792"/>
      <w:r>
        <w:rPr>
          <w:rFonts w:hint="eastAsia"/>
        </w:rPr>
        <w:t>入口与出口边界条件</w:t>
      </w:r>
      <w:bookmarkEnd w:id="53"/>
      <w:bookmarkEnd w:id="5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5" w:name="地面粗糙度指数2"/>
      <w:r>
        <w:rPr>
          <w:rFonts w:hint="eastAsia"/>
          <w:lang w:val="en-US"/>
        </w:rPr>
        <w:t>0.22</w:t>
      </w:r>
      <w:bookmarkEnd w:id="5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6" w:name="_Toc509844744"/>
      <w:bookmarkStart w:id="57" w:name="_Toc60583793"/>
      <w:r>
        <w:rPr>
          <w:rFonts w:hint="eastAsia"/>
        </w:rPr>
        <w:t>壁面边界条件</w:t>
      </w:r>
      <w:bookmarkEnd w:id="56"/>
      <w:bookmarkEnd w:id="5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58" w:name="_Toc60583794"/>
      <w:r>
        <w:rPr>
          <w:rFonts w:hint="eastAsia"/>
        </w:rPr>
        <w:t>湍流模型</w:t>
      </w:r>
      <w:bookmarkEnd w:id="28"/>
      <w:bookmarkEnd w:id="29"/>
      <w:bookmarkEnd w:id="5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59" w:name="_Toc451698939"/>
      <w:bookmarkStart w:id="60" w:name="_Toc60583795"/>
      <w:bookmarkStart w:id="61" w:name="_Toc452108767"/>
      <w:r>
        <w:rPr>
          <w:rFonts w:hint="eastAsia"/>
        </w:rPr>
        <w:t>求解计算</w:t>
      </w:r>
      <w:bookmarkEnd w:id="59"/>
      <w:bookmarkEnd w:id="60"/>
      <w:bookmarkEnd w:id="6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4"/>
    </w:p>
    <w:p>
      <w:pPr>
        <w:pStyle w:val="4"/>
      </w:pPr>
      <w:bookmarkStart w:id="64" w:name="_Toc60583796"/>
      <w:bookmarkStart w:id="65" w:name="_Toc509844747"/>
      <w:r>
        <w:rPr>
          <w:rFonts w:hint="eastAsia"/>
        </w:rPr>
        <w:t>风速放大系数计算</w:t>
      </w:r>
      <w:bookmarkEnd w:id="64"/>
      <w:bookmarkEnd w:id="6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0.22</w:t>
      </w:r>
      <w:bookmarkEnd w:id="6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67" w:name="_Toc452108768"/>
      <w:bookmarkStart w:id="68" w:name="_Toc60583797"/>
      <w:r>
        <w:rPr>
          <w:rFonts w:hint="eastAsia"/>
        </w:rPr>
        <w:t>结果</w:t>
      </w:r>
      <w:r>
        <w:t>分析</w:t>
      </w:r>
      <w:bookmarkEnd w:id="67"/>
      <w:bookmarkEnd w:id="68"/>
    </w:p>
    <w:p>
      <w:pPr>
        <w:pStyle w:val="4"/>
        <w:rPr>
          <w:szCs w:val="21"/>
        </w:rPr>
      </w:pPr>
      <w:bookmarkStart w:id="69" w:name="_Toc60583798"/>
      <w:r>
        <w:rPr>
          <w:rFonts w:hint="eastAsia"/>
          <w:szCs w:val="21"/>
        </w:rPr>
        <w:t>工况</w:t>
      </w:r>
      <w:r>
        <w:rPr>
          <w:szCs w:val="21"/>
        </w:rPr>
        <w:t>表</w:t>
      </w:r>
      <w:bookmarkEnd w:id="6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7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3.40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292.5</w:t>
            </w:r>
          </w:p>
        </w:tc>
      </w:tr>
      <w:bookmarkEnd w:id="7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bookmarkStart w:id="119" w:name="_GoBack"/>
      <w:r>
        <w:rPr>
          <w:lang w:val="en-US"/>
        </w:rPr>
        <w:drawing>
          <wp:inline distT="0" distB="0" distL="0" distR="0">
            <wp:extent cx="2735580" cy="2649220"/>
            <wp:effectExtent l="0" t="0" r="762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bookmarkEnd w:id="119"/>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71" w:name="冬季工况"/>
      <w:bookmarkEnd w:id="71"/>
      <w:r>
        <w:rPr>
          <w:rFonts w:hint="eastAsia"/>
          <w:lang w:val="en-US"/>
        </w:rPr>
        <w:t xml:space="preserve"> </w:t>
      </w:r>
    </w:p>
    <w:p>
      <w:pPr>
        <w:pStyle w:val="4"/>
      </w:pPr>
      <w:bookmarkStart w:id="72" w:name="季节1"/>
      <w:bookmarkStart w:id="73" w:name="_Toc509844759"/>
      <w:bookmarkStart w:id="74" w:name="_Toc60583799"/>
      <w:r>
        <w:rPr>
          <w:rFonts w:hint="eastAsia"/>
        </w:rPr>
        <w:t>夏季</w:t>
      </w:r>
      <w:bookmarkEnd w:id="72"/>
      <w:r>
        <w:rPr>
          <w:rFonts w:hint="eastAsia"/>
        </w:rPr>
        <w:t>工况</w:t>
      </w:r>
      <w:bookmarkEnd w:id="73"/>
      <w:bookmarkEnd w:id="74"/>
    </w:p>
    <w:p>
      <w:pPr>
        <w:pStyle w:val="3"/>
        <w:ind w:firstLine="420"/>
      </w:pPr>
      <w:r>
        <w:rPr>
          <w:rFonts w:hint="eastAsia"/>
          <w:lang w:val="en-US"/>
        </w:rPr>
        <w:t>本项目</w:t>
      </w:r>
      <w:bookmarkStart w:id="75" w:name="季节2"/>
      <w:r>
        <w:rPr>
          <w:rFonts w:hint="eastAsia"/>
          <w:lang w:val="en-US"/>
        </w:rPr>
        <w:t>夏季</w:t>
      </w:r>
      <w:bookmarkEnd w:id="75"/>
      <w:r>
        <w:rPr>
          <w:rFonts w:hint="eastAsia"/>
          <w:lang w:val="en-US"/>
        </w:rPr>
        <w:t>工况的入口边界风速为</w:t>
      </w:r>
      <w:bookmarkStart w:id="76" w:name="入口边界风速"/>
      <w:r>
        <w:rPr>
          <w:rFonts w:hint="eastAsia"/>
          <w:lang w:val="en-US"/>
        </w:rPr>
        <w:t>3.40</w:t>
      </w:r>
      <w:bookmarkEnd w:id="76"/>
      <w:r>
        <w:rPr>
          <w:rFonts w:hint="eastAsia"/>
          <w:lang w:val="en-US"/>
        </w:rPr>
        <w:t>m/s，风向为</w:t>
      </w:r>
      <w:bookmarkStart w:id="77" w:name="入口边界风向"/>
      <w:r>
        <w:t>SSE</w:t>
      </w:r>
      <w:bookmarkEnd w:id="77"/>
      <w:r>
        <w:rPr>
          <w:rFonts w:hint="eastAsia"/>
          <w:lang w:val="en-US"/>
        </w:rPr>
        <w:t>。</w:t>
      </w:r>
    </w:p>
    <w:p>
      <w:pPr>
        <w:pStyle w:val="3"/>
        <w:ind w:firstLine="420"/>
      </w:pPr>
      <w:r>
        <w:rPr>
          <w:rFonts w:hint="eastAsia"/>
          <w:lang w:val="en-US"/>
        </w:rPr>
        <w:t>根据前述《绿色建筑评价标准》 对于夏季工况的要求，</w:t>
      </w:r>
      <w:bookmarkStart w:id="78" w:name="季节3"/>
      <w:r>
        <w:rPr>
          <w:rFonts w:hint="eastAsia"/>
          <w:lang w:val="en-US"/>
        </w:rPr>
        <w:t>夏季</w:t>
      </w:r>
      <w:bookmarkEnd w:id="78"/>
      <w:r>
        <w:rPr>
          <w:rFonts w:hint="eastAsia"/>
          <w:lang w:val="en-US"/>
        </w:rPr>
        <w:t>典型风速和风向条件下，场地内人活动区不出现涡旋或无风区。通过该项标准指导设计确保合理的建筑布局，在</w:t>
      </w:r>
      <w:bookmarkStart w:id="79" w:name="季节4"/>
      <w:r>
        <w:rPr>
          <w:rFonts w:hint="eastAsia"/>
          <w:lang w:val="en-US"/>
        </w:rPr>
        <w:t>夏季</w:t>
      </w:r>
      <w:bookmarkEnd w:id="79"/>
      <w:r>
        <w:rPr>
          <w:rFonts w:hint="eastAsia"/>
          <w:lang w:val="en-US"/>
        </w:rPr>
        <w:t>形成有效的巷道风，优化街区自然通风环境，避免</w:t>
      </w:r>
      <w:bookmarkStart w:id="80" w:name="季节5"/>
      <w:r>
        <w:rPr>
          <w:rFonts w:hint="eastAsia"/>
          <w:lang w:val="en-US"/>
        </w:rPr>
        <w:t>夏季</w:t>
      </w:r>
      <w:bookmarkEnd w:id="80"/>
      <w:r>
        <w:rPr>
          <w:rFonts w:hint="eastAsia"/>
          <w:lang w:val="en-US"/>
        </w:rPr>
        <w:t>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81" w:name="_Toc509844760"/>
      <w:bookmarkStart w:id="82" w:name="_Toc60583800"/>
      <w:r>
        <w:rPr>
          <w:rFonts w:hint="eastAsia"/>
        </w:rPr>
        <w:t>无风区计算分析</w:t>
      </w:r>
      <w:bookmarkEnd w:id="81"/>
      <w:bookmarkEnd w:id="82"/>
    </w:p>
    <w:p>
      <w:pPr>
        <w:pStyle w:val="3"/>
        <w:tabs>
          <w:tab w:val="left" w:pos="426"/>
        </w:tabs>
        <w:ind w:firstLine="420"/>
      </w:pPr>
      <w:r>
        <w:rPr>
          <w:rFonts w:hint="eastAsia"/>
        </w:rPr>
        <w:t>下图为整个计算域内风速分布云图，参考图中速度分布可以对项目中建筑布局进行优化。分析下图，</w:t>
      </w:r>
      <w:bookmarkStart w:id="83" w:name="风速分析结论"/>
      <w:bookmarkEnd w:id="83"/>
      <w:r>
        <w:t>黑色等值线</w:t>
      </w:r>
      <w:r>
        <w:rPr>
          <w:color w:val="FF0000"/>
        </w:rPr>
        <w:t>标示出了</w:t>
      </w:r>
      <w:r>
        <w:t>人行区内风速小于0.2m/s的超限区域，因此</w:t>
      </w:r>
      <w:r>
        <w:rPr>
          <w:color w:val="FF0000"/>
        </w:rPr>
        <w:t>未满足</w:t>
      </w:r>
      <w:r>
        <w:t>绿标要求，需调整建筑布局优化区域内风速分布。</w:t>
      </w:r>
    </w:p>
    <w:p>
      <w:pPr>
        <w:pStyle w:val="3"/>
        <w:spacing w:after="156" w:afterLines="50"/>
        <w:ind w:firstLine="0" w:firstLineChars="0"/>
        <w:jc w:val="center"/>
      </w:pPr>
      <w:bookmarkStart w:id="84" w:name="风速云图"/>
      <w:bookmarkEnd w:id="84"/>
      <w:r>
        <w:rPr>
          <w:lang w:val="en-US"/>
        </w:rPr>
        <w:drawing>
          <wp:inline distT="0" distB="0" distL="0" distR="0">
            <wp:extent cx="5667375" cy="348615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w:t>
      </w:r>
      <w:bookmarkStart w:id="85" w:name="季节7"/>
      <w:r>
        <w:rPr>
          <w:rFonts w:hint="eastAsia" w:ascii="黑体" w:hAnsi="黑体" w:eastAsia="黑体"/>
          <w:sz w:val="20"/>
          <w:szCs w:val="20"/>
        </w:rPr>
        <w:t>夏季</w:t>
      </w:r>
      <w:bookmarkEnd w:id="85"/>
    </w:p>
    <w:p>
      <w:pPr>
        <w:pStyle w:val="5"/>
      </w:pPr>
      <w:bookmarkStart w:id="86" w:name="_Toc509844761"/>
      <w:bookmarkStart w:id="87" w:name="_Toc60583801"/>
      <w:r>
        <w:rPr>
          <w:rFonts w:hint="eastAsia"/>
        </w:rPr>
        <w:t>旋涡区分析</w:t>
      </w:r>
      <w:bookmarkEnd w:id="86"/>
      <w:bookmarkEnd w:id="87"/>
    </w:p>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88" w:name="风速矢量图"/>
      <w:bookmarkEnd w:id="88"/>
      <w:r>
        <w:rPr>
          <w:lang w:val="en-US"/>
        </w:rPr>
        <w:drawing>
          <wp:inline distT="0" distB="0" distL="0" distR="0">
            <wp:extent cx="5667375" cy="366712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6671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89" w:name="_Toc509844762"/>
      <w:bookmarkStart w:id="90" w:name="_Toc60583802"/>
      <w:r>
        <w:rPr>
          <w:rFonts w:hint="eastAsia"/>
        </w:rPr>
        <w:t>人行区域旋涡区/无风区达标判定</w:t>
      </w:r>
      <w:bookmarkEnd w:id="89"/>
      <w:bookmarkEnd w:id="9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91" w:name="季节8"/>
      <w:r>
        <w:rPr>
          <w:rFonts w:hint="eastAsia" w:ascii="黑体" w:hAnsi="黑体" w:eastAsia="黑体"/>
          <w:sz w:val="20"/>
          <w:szCs w:val="20"/>
        </w:rPr>
        <w:t>夏季</w:t>
      </w:r>
      <w:bookmarkEnd w:id="91"/>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92" w:name="是否有无风区"/>
            <w:r>
              <w:rPr>
                <w:rFonts w:hint="eastAsia" w:ascii="宋体" w:hAnsi="宋体" w:cs="宋体"/>
                <w:color w:val="FF0000"/>
                <w:sz w:val="22"/>
                <w:szCs w:val="22"/>
                <w:lang w:val="en-US"/>
              </w:rPr>
              <w:t>是</w:t>
            </w:r>
            <w:bookmarkEnd w:id="92"/>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93" w:name="无风区达标判断"/>
            <w:r>
              <w:rPr>
                <w:rFonts w:hint="eastAsia" w:ascii="宋体" w:hAnsi="宋体" w:cs="宋体"/>
                <w:color w:val="FF0000"/>
                <w:sz w:val="22"/>
                <w:szCs w:val="22"/>
                <w:lang w:val="en-US"/>
              </w:rPr>
              <w:t>否</w:t>
            </w:r>
            <w:bookmarkEnd w:id="93"/>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94" w:name="_Toc504501018"/>
      <w:bookmarkStart w:id="95" w:name="_Toc60583803"/>
      <w:bookmarkStart w:id="96" w:name="_Toc509844763"/>
      <w:r>
        <w:rPr>
          <w:rFonts w:hint="eastAsia"/>
        </w:rPr>
        <w:t>外窗内外表面风压</w:t>
      </w:r>
      <w:bookmarkEnd w:id="94"/>
      <w:r>
        <w:rPr>
          <w:rFonts w:hint="eastAsia"/>
        </w:rPr>
        <w:t>差达标分析</w:t>
      </w:r>
      <w:bookmarkEnd w:id="95"/>
      <w:bookmarkEnd w:id="96"/>
    </w:p>
    <w:p>
      <w:pPr>
        <w:pStyle w:val="3"/>
        <w:ind w:firstLine="420"/>
      </w:pPr>
      <w:r>
        <w:rPr>
          <w:rFonts w:hint="eastAsia"/>
          <w:lang w:val="en-US"/>
        </w:rPr>
        <w:t>分析《绿色建筑评价标准》，</w:t>
      </w:r>
      <w:bookmarkStart w:id="97" w:name="季节9"/>
      <w:r>
        <w:rPr>
          <w:rFonts w:hint="eastAsia"/>
          <w:lang w:val="en-US"/>
        </w:rPr>
        <w:t>夏季</w:t>
      </w:r>
      <w:bookmarkEnd w:id="97"/>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98" w:name="迎风面风压云图"/>
      <w:bookmarkEnd w:id="98"/>
      <w:r>
        <w:rPr>
          <w:lang w:val="en-US"/>
        </w:rP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99" w:name="季节10"/>
      <w:r>
        <w:rPr>
          <w:rFonts w:hint="eastAsia" w:ascii="黑体" w:hAnsi="黑体" w:eastAsia="黑体"/>
          <w:sz w:val="20"/>
          <w:szCs w:val="20"/>
        </w:rPr>
        <w:t>夏季</w:t>
      </w:r>
      <w:bookmarkEnd w:id="99"/>
    </w:p>
    <w:p>
      <w:pPr>
        <w:pStyle w:val="13"/>
        <w:jc w:val="center"/>
      </w:pPr>
      <w:bookmarkStart w:id="100" w:name="背风面风压云图"/>
      <w:bookmarkEnd w:id="100"/>
      <w:r>
        <w:rPr>
          <w:lang w:val="en-US"/>
        </w:rP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6385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01" w:name="季节11"/>
      <w:r>
        <w:rPr>
          <w:rFonts w:hint="eastAsia" w:ascii="黑体" w:hAnsi="黑体" w:eastAsia="黑体"/>
          <w:sz w:val="20"/>
          <w:szCs w:val="20"/>
        </w:rPr>
        <w:t>夏季</w:t>
      </w:r>
      <w:bookmarkEnd w:id="101"/>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DT单体(土建楼平面图.改造)</w:t>
            </w:r>
          </w:p>
        </w:tc>
        <w:tc>
          <w:tcPr>
            <w:tcW w:w="1134" w:type="dxa"/>
            <w:shd w:val="clear" w:color="auto" w:fill="auto"/>
            <w:vAlign w:val="center"/>
          </w:tcPr>
          <w:p>
            <w:pPr>
              <w:jc w:val="center"/>
              <w:rPr>
                <w:lang w:val="en-US"/>
              </w:rPr>
            </w:pPr>
            <w:r>
              <w:rPr>
                <w:lang w:val="en-US"/>
              </w:rPr>
              <w:t>293</w:t>
            </w:r>
          </w:p>
        </w:tc>
        <w:tc>
          <w:tcPr>
            <w:tcW w:w="1984" w:type="dxa"/>
            <w:shd w:val="clear" w:color="auto" w:fill="auto"/>
            <w:vAlign w:val="center"/>
          </w:tcPr>
          <w:p>
            <w:pPr>
              <w:jc w:val="center"/>
              <w:rPr>
                <w:lang w:val="en-US"/>
              </w:rPr>
            </w:pPr>
            <w:r>
              <w:rPr>
                <w:lang w:val="en-US"/>
              </w:rPr>
              <w:t>285</w:t>
            </w:r>
          </w:p>
        </w:tc>
        <w:tc>
          <w:tcPr>
            <w:tcW w:w="1116" w:type="dxa"/>
            <w:shd w:val="clear" w:color="auto" w:fill="auto"/>
            <w:vAlign w:val="center"/>
          </w:tcPr>
          <w:p>
            <w:pPr>
              <w:jc w:val="center"/>
              <w:rPr>
                <w:lang w:val="en-US"/>
              </w:rPr>
            </w:pPr>
            <w:r>
              <w:rPr>
                <w:lang w:val="en-US"/>
              </w:rPr>
              <w:t>97.27</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02" w:name="建筑外窗室内外风压差达标判定"/>
      <w:bookmarkEnd w:id="102"/>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1号学生公寓</w:t>
            </w:r>
          </w:p>
        </w:tc>
        <w:tc>
          <w:tcPr>
            <w:tcW w:w="1417" w:type="dxa"/>
            <w:vAlign w:val="center"/>
          </w:tcPr>
          <w:p>
            <w:pPr>
              <w:spacing w:line="360" w:lineRule="exact"/>
              <w:jc w:val="center"/>
              <w:rPr>
                <w:lang w:val="en-US"/>
              </w:rPr>
            </w:pPr>
            <w:r>
              <w:rPr>
                <w:lang w:val="en-US"/>
              </w:rPr>
              <w:t>7908.18</w:t>
            </w:r>
          </w:p>
        </w:tc>
        <w:tc>
          <w:tcPr>
            <w:tcW w:w="2552" w:type="dxa"/>
            <w:vAlign w:val="center"/>
          </w:tcPr>
          <w:p>
            <w:pPr>
              <w:spacing w:line="360" w:lineRule="exact"/>
              <w:jc w:val="center"/>
              <w:rPr>
                <w:lang w:val="en-US"/>
              </w:rPr>
            </w:pPr>
            <w:r>
              <w:rPr>
                <w:lang w:val="en-US"/>
              </w:rPr>
              <w:t>7890.18</w:t>
            </w:r>
          </w:p>
        </w:tc>
        <w:tc>
          <w:tcPr>
            <w:tcW w:w="1134" w:type="dxa"/>
            <w:vAlign w:val="center"/>
          </w:tcPr>
          <w:p>
            <w:pPr>
              <w:spacing w:line="360" w:lineRule="exact"/>
              <w:jc w:val="center"/>
              <w:rPr>
                <w:lang w:val="en-US"/>
              </w:rPr>
            </w:pPr>
            <w:r>
              <w:rPr>
                <w:lang w:val="en-US"/>
              </w:rPr>
              <w:t>99.77</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2号学生公寓</w:t>
            </w:r>
          </w:p>
        </w:tc>
        <w:tc>
          <w:tcPr>
            <w:tcW w:w="1417" w:type="dxa"/>
            <w:vAlign w:val="center"/>
          </w:tcPr>
          <w:p>
            <w:pPr>
              <w:spacing w:line="360" w:lineRule="exact"/>
              <w:jc w:val="center"/>
              <w:rPr>
                <w:lang w:val="en-US"/>
              </w:rPr>
            </w:pPr>
            <w:r>
              <w:rPr>
                <w:lang w:val="en-US"/>
              </w:rPr>
              <w:t>6561.11</w:t>
            </w:r>
          </w:p>
        </w:tc>
        <w:tc>
          <w:tcPr>
            <w:tcW w:w="2552" w:type="dxa"/>
            <w:vAlign w:val="center"/>
          </w:tcPr>
          <w:p>
            <w:pPr>
              <w:spacing w:line="360" w:lineRule="exact"/>
              <w:jc w:val="center"/>
              <w:rPr>
                <w:lang w:val="en-US"/>
              </w:rPr>
            </w:pPr>
            <w:r>
              <w:rPr>
                <w:lang w:val="en-US"/>
              </w:rPr>
              <w:t>6470.49</w:t>
            </w:r>
          </w:p>
        </w:tc>
        <w:tc>
          <w:tcPr>
            <w:tcW w:w="1134" w:type="dxa"/>
            <w:vAlign w:val="center"/>
          </w:tcPr>
          <w:p>
            <w:pPr>
              <w:spacing w:line="360" w:lineRule="exact"/>
              <w:jc w:val="center"/>
              <w:rPr>
                <w:lang w:val="en-US"/>
              </w:rPr>
            </w:pPr>
            <w:r>
              <w:rPr>
                <w:lang w:val="en-US"/>
              </w:rPr>
              <w:t>98.62</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机电学院教学实训大楼</w:t>
            </w:r>
          </w:p>
        </w:tc>
        <w:tc>
          <w:tcPr>
            <w:tcW w:w="1417" w:type="dxa"/>
            <w:vAlign w:val="center"/>
          </w:tcPr>
          <w:p>
            <w:pPr>
              <w:spacing w:line="360" w:lineRule="exact"/>
              <w:jc w:val="center"/>
              <w:rPr>
                <w:lang w:val="en-US"/>
              </w:rPr>
            </w:pPr>
            <w:r>
              <w:rPr>
                <w:lang w:val="en-US"/>
              </w:rPr>
              <w:t>11215.60</w:t>
            </w:r>
          </w:p>
        </w:tc>
        <w:tc>
          <w:tcPr>
            <w:tcW w:w="2552" w:type="dxa"/>
            <w:vAlign w:val="center"/>
          </w:tcPr>
          <w:p>
            <w:pPr>
              <w:spacing w:line="360" w:lineRule="exact"/>
              <w:jc w:val="center"/>
              <w:rPr>
                <w:lang w:val="en-US"/>
              </w:rPr>
            </w:pPr>
            <w:r>
              <w:rPr>
                <w:lang w:val="en-US"/>
              </w:rPr>
              <w:t>11013.90</w:t>
            </w:r>
          </w:p>
        </w:tc>
        <w:tc>
          <w:tcPr>
            <w:tcW w:w="1134" w:type="dxa"/>
            <w:vAlign w:val="center"/>
          </w:tcPr>
          <w:p>
            <w:pPr>
              <w:spacing w:line="360" w:lineRule="exact"/>
              <w:jc w:val="center"/>
              <w:rPr>
                <w:lang w:val="en-US"/>
              </w:rPr>
            </w:pPr>
            <w:r>
              <w:rPr>
                <w:lang w:val="en-US"/>
              </w:rPr>
              <w:t>98.20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图书馆</w:t>
            </w:r>
          </w:p>
        </w:tc>
        <w:tc>
          <w:tcPr>
            <w:tcW w:w="1417" w:type="dxa"/>
            <w:vAlign w:val="center"/>
          </w:tcPr>
          <w:p>
            <w:pPr>
              <w:spacing w:line="360" w:lineRule="exact"/>
              <w:jc w:val="center"/>
              <w:rPr>
                <w:lang w:val="en-US"/>
              </w:rPr>
            </w:pPr>
            <w:r>
              <w:rPr>
                <w:lang w:val="en-US"/>
              </w:rPr>
              <w:t>9943.11</w:t>
            </w:r>
          </w:p>
        </w:tc>
        <w:tc>
          <w:tcPr>
            <w:tcW w:w="2552" w:type="dxa"/>
            <w:vAlign w:val="center"/>
          </w:tcPr>
          <w:p>
            <w:pPr>
              <w:spacing w:line="360" w:lineRule="exact"/>
              <w:jc w:val="center"/>
              <w:rPr>
                <w:lang w:val="en-US"/>
              </w:rPr>
            </w:pPr>
            <w:r>
              <w:rPr>
                <w:lang w:val="en-US"/>
              </w:rPr>
              <w:t>9920.20</w:t>
            </w:r>
          </w:p>
        </w:tc>
        <w:tc>
          <w:tcPr>
            <w:tcW w:w="1134" w:type="dxa"/>
            <w:vAlign w:val="center"/>
          </w:tcPr>
          <w:p>
            <w:pPr>
              <w:spacing w:line="360" w:lineRule="exact"/>
              <w:jc w:val="center"/>
              <w:rPr>
                <w:lang w:val="en-US"/>
              </w:rPr>
            </w:pPr>
            <w:r>
              <w:rPr>
                <w:lang w:val="en-US"/>
              </w:rPr>
              <w:t>99.77</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图书馆1</w:t>
            </w:r>
          </w:p>
        </w:tc>
        <w:tc>
          <w:tcPr>
            <w:tcW w:w="1417" w:type="dxa"/>
            <w:vAlign w:val="center"/>
          </w:tcPr>
          <w:p>
            <w:pPr>
              <w:spacing w:line="360" w:lineRule="exact"/>
              <w:jc w:val="center"/>
              <w:rPr>
                <w:lang w:val="en-US"/>
              </w:rPr>
            </w:pPr>
            <w:r>
              <w:rPr>
                <w:lang w:val="en-US"/>
              </w:rPr>
              <w:t>3728.50</w:t>
            </w:r>
          </w:p>
        </w:tc>
        <w:tc>
          <w:tcPr>
            <w:tcW w:w="2552" w:type="dxa"/>
            <w:vAlign w:val="center"/>
          </w:tcPr>
          <w:p>
            <w:pPr>
              <w:spacing w:line="360" w:lineRule="exact"/>
              <w:jc w:val="center"/>
              <w:rPr>
                <w:lang w:val="en-US"/>
              </w:rPr>
            </w:pPr>
            <w:r>
              <w:rPr>
                <w:lang w:val="en-US"/>
              </w:rPr>
              <w:t>3646.96</w:t>
            </w:r>
          </w:p>
        </w:tc>
        <w:tc>
          <w:tcPr>
            <w:tcW w:w="1134" w:type="dxa"/>
            <w:vAlign w:val="center"/>
          </w:tcPr>
          <w:p>
            <w:pPr>
              <w:spacing w:line="360" w:lineRule="exact"/>
              <w:jc w:val="center"/>
              <w:rPr>
                <w:lang w:val="en-US"/>
              </w:rPr>
            </w:pPr>
            <w:r>
              <w:rPr>
                <w:lang w:val="en-US"/>
              </w:rPr>
              <w:t>97.81</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学生食堂</w:t>
            </w:r>
          </w:p>
        </w:tc>
        <w:tc>
          <w:tcPr>
            <w:tcW w:w="1417" w:type="dxa"/>
            <w:vAlign w:val="center"/>
          </w:tcPr>
          <w:p>
            <w:pPr>
              <w:spacing w:line="360" w:lineRule="exact"/>
              <w:jc w:val="center"/>
              <w:rPr>
                <w:lang w:val="en-US"/>
              </w:rPr>
            </w:pPr>
            <w:r>
              <w:rPr>
                <w:lang w:val="en-US"/>
              </w:rPr>
              <w:t>6556.10</w:t>
            </w:r>
          </w:p>
        </w:tc>
        <w:tc>
          <w:tcPr>
            <w:tcW w:w="2552" w:type="dxa"/>
            <w:vAlign w:val="center"/>
          </w:tcPr>
          <w:p>
            <w:pPr>
              <w:spacing w:line="360" w:lineRule="exact"/>
              <w:jc w:val="center"/>
              <w:rPr>
                <w:lang w:val="en-US"/>
              </w:rPr>
            </w:pPr>
            <w:r>
              <w:rPr>
                <w:lang w:val="en-US"/>
              </w:rPr>
              <w:t>6477.68</w:t>
            </w:r>
          </w:p>
        </w:tc>
        <w:tc>
          <w:tcPr>
            <w:tcW w:w="1134" w:type="dxa"/>
            <w:vAlign w:val="center"/>
          </w:tcPr>
          <w:p>
            <w:pPr>
              <w:spacing w:line="360" w:lineRule="exact"/>
              <w:jc w:val="center"/>
              <w:rPr>
                <w:lang w:val="en-US"/>
              </w:rPr>
            </w:pPr>
            <w:r>
              <w:rPr>
                <w:lang w:val="en-US"/>
              </w:rPr>
              <w:t>98.80</w:t>
            </w:r>
          </w:p>
        </w:tc>
        <w:tc>
          <w:tcPr>
            <w:tcW w:w="835" w:type="dxa"/>
            <w:vAlign w:val="center"/>
          </w:tcPr>
          <w:p>
            <w:pPr>
              <w:spacing w:line="360" w:lineRule="exact"/>
              <w:jc w:val="center"/>
              <w:rPr>
                <w:lang w:val="en-US"/>
              </w:rPr>
            </w:pPr>
            <w:r>
              <w:rPr>
                <w:lang w:val="en-US"/>
              </w:rPr>
              <w:t>是</w:t>
            </w:r>
          </w:p>
        </w:tc>
      </w:tr>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bookmarkStart w:id="103" w:name="建筑室内外风压差达标判定"/>
      <w:r>
        <w:rPr>
          <w:rFonts w:hint="eastAsia"/>
        </w:rPr>
        <w:t xml:space="preserve"> </w:t>
      </w:r>
      <w:bookmarkEnd w:id="103"/>
    </w:p>
    <w:p>
      <w:pPr>
        <w:rPr>
          <w:lang w:val="en-US"/>
        </w:rPr>
      </w:pPr>
      <w:bookmarkStart w:id="104" w:name="建筑室内外风压差达标判定结论"/>
      <w:r>
        <w:rPr>
          <w:rFonts w:hint="eastAsia"/>
          <w:lang w:val="en-US"/>
        </w:rPr>
        <w:t>结论：本项目中所有建筑均满足“50%以上可开启外窗室内外表面的风压差大于0.5Pa”的要求。</w:t>
      </w:r>
      <w:bookmarkEnd w:id="104"/>
      <w:r>
        <w:rPr>
          <w:rFonts w:hint="eastAsia"/>
          <w:lang w:val="en-US"/>
        </w:rPr>
        <w:t xml:space="preserve"> </w:t>
      </w:r>
    </w:p>
    <w:p>
      <w:pPr>
        <w:rPr>
          <w:lang w:val="en-US"/>
        </w:rPr>
      </w:pPr>
      <w:bookmarkStart w:id="105" w:name="其他工况"/>
      <w:bookmarkEnd w:id="105"/>
      <w:r>
        <w:rPr>
          <w:rFonts w:hint="eastAsia"/>
          <w:lang w:val="en-US"/>
        </w:rPr>
        <w:t xml:space="preserve"> </w:t>
      </w:r>
    </w:p>
    <w:p>
      <w:pPr>
        <w:pStyle w:val="4"/>
      </w:pPr>
      <w:bookmarkStart w:id="106" w:name="_Toc509844764"/>
      <w:bookmarkStart w:id="107" w:name="_Toc60583804"/>
      <w:r>
        <w:rPr>
          <w:rFonts w:hint="eastAsia"/>
        </w:rPr>
        <w:t>结论</w:t>
      </w:r>
      <w:bookmarkEnd w:id="106"/>
      <w:bookmarkEnd w:id="107"/>
    </w:p>
    <w:p>
      <w:pPr>
        <w:pStyle w:val="5"/>
      </w:pPr>
      <w:bookmarkStart w:id="108" w:name="_Toc509844767"/>
      <w:bookmarkEnd w:id="108"/>
      <w:bookmarkStart w:id="109" w:name="_Toc509844768"/>
      <w:bookmarkEnd w:id="109"/>
      <w:bookmarkStart w:id="110" w:name="_Toc509844769"/>
      <w:bookmarkStart w:id="111" w:name="_Toc60583805"/>
      <w:r>
        <w:rPr>
          <w:rFonts w:hint="eastAsia"/>
        </w:rPr>
        <w:t>过渡季、夏季工况达标判断</w:t>
      </w:r>
      <w:bookmarkEnd w:id="110"/>
      <w:bookmarkEnd w:id="11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，得2分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bookmarkStart w:id="112" w:name="夏季无风区结果"/>
            <w:r>
              <w:rPr>
                <w:rFonts w:hint="eastAsia"/>
                <w:lang w:val="en-US"/>
              </w:rPr>
              <w:t>有</w:t>
            </w:r>
            <w:bookmarkEnd w:id="112"/>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bookmarkStart w:id="113" w:name="夏季无风区达标判定"/>
            <w:r>
              <w:rPr>
                <w:rFonts w:hint="eastAsia"/>
                <w:b/>
                <w:color w:val="FF0000"/>
                <w:lang w:val="en-US"/>
              </w:rPr>
              <w:t>不达标</w:t>
            </w:r>
            <w:bookmarkEnd w:id="113"/>
          </w:p>
        </w:tc>
        <w:tc>
          <w:tcPr>
            <w:tcW w:w="1416" w:type="dxa"/>
            <w:vMerge w:val="restart"/>
            <w:tcBorders>
              <w:top w:val="single" w:color="auto" w:sz="4" w:space="0"/>
            </w:tcBorders>
            <w:shd w:val="clear" w:color="auto" w:fill="auto"/>
            <w:vAlign w:val="center"/>
          </w:tcPr>
          <w:p>
            <w:pPr>
              <w:jc w:val="center"/>
              <w:rPr>
                <w:lang w:val="en-US"/>
              </w:rPr>
            </w:pPr>
            <w:bookmarkStart w:id="114" w:name="夏季无风区得分"/>
            <w:r>
              <w:rPr>
                <w:rFonts w:hint="eastAsia"/>
                <w:lang w:val="en-US"/>
              </w:rPr>
              <w:t>0</w:t>
            </w:r>
            <w:bookmarkEnd w:id="114"/>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，得1分。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15" w:name="夏季窗内外风压差结果"/>
            <w:r>
              <w:rPr>
                <w:rFonts w:hint="eastAsia"/>
                <w:lang w:val="en-US"/>
              </w:rPr>
              <w:t>满足</w:t>
            </w:r>
            <w:bookmarkEnd w:id="115"/>
            <w:r>
              <w:rPr>
                <w:rFonts w:hint="eastAsia"/>
                <w:lang w:val="en-US"/>
              </w:rPr>
              <w:t>标准要求</w:t>
            </w:r>
          </w:p>
        </w:tc>
        <w:tc>
          <w:tcPr>
            <w:tcW w:w="1985" w:type="dxa"/>
            <w:shd w:val="clear" w:color="auto" w:fill="auto"/>
            <w:vAlign w:val="center"/>
          </w:tcPr>
          <w:p>
            <w:pPr>
              <w:jc w:val="center"/>
              <w:rPr>
                <w:b/>
                <w:lang w:val="en-US"/>
              </w:rPr>
            </w:pPr>
            <w:bookmarkStart w:id="116" w:name="夏季窗内外风压差达标判定"/>
            <w:r>
              <w:rPr>
                <w:rFonts w:hint="eastAsia"/>
                <w:b/>
                <w:lang w:val="en-US"/>
              </w:rPr>
              <w:t>达标</w:t>
            </w:r>
            <w:bookmarkEnd w:id="116"/>
          </w:p>
        </w:tc>
        <w:tc>
          <w:tcPr>
            <w:tcW w:w="1416" w:type="dxa"/>
            <w:shd w:val="clear" w:color="auto" w:fill="auto"/>
            <w:vAlign w:val="center"/>
          </w:tcPr>
          <w:p>
            <w:pPr>
              <w:jc w:val="center"/>
              <w:rPr>
                <w:lang w:val="en-US"/>
              </w:rPr>
            </w:pPr>
            <w:bookmarkStart w:id="117" w:name="夏季窗内外风压差得分"/>
            <w:r>
              <w:rPr>
                <w:rFonts w:hint="eastAsia"/>
                <w:lang w:val="en-US"/>
              </w:rPr>
              <w:t>1</w:t>
            </w:r>
            <w:bookmarkEnd w:id="117"/>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18" w:name="总得分"/>
      <w:r>
        <w:rPr>
          <w:rFonts w:hint="eastAsia"/>
          <w:lang w:val="en-US"/>
        </w:rPr>
        <w:t>1</w:t>
      </w:r>
      <w:bookmarkEnd w:id="118"/>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8</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16</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ENT2018</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FF"/>
    <w:rsid w:val="00005045"/>
    <w:rsid w:val="0000578F"/>
    <w:rsid w:val="00015AD3"/>
    <w:rsid w:val="0002001E"/>
    <w:rsid w:val="000219DF"/>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15CF"/>
    <w:rsid w:val="003C51B9"/>
    <w:rsid w:val="003C5F3A"/>
    <w:rsid w:val="003D123E"/>
    <w:rsid w:val="003D1EFF"/>
    <w:rsid w:val="003D3E8E"/>
    <w:rsid w:val="003E405A"/>
    <w:rsid w:val="00407998"/>
    <w:rsid w:val="00412598"/>
    <w:rsid w:val="00412ACB"/>
    <w:rsid w:val="00413DB8"/>
    <w:rsid w:val="004169B3"/>
    <w:rsid w:val="00437A5C"/>
    <w:rsid w:val="00453246"/>
    <w:rsid w:val="004556B5"/>
    <w:rsid w:val="0046589C"/>
    <w:rsid w:val="0047200C"/>
    <w:rsid w:val="004825F5"/>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B4ED4"/>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25113"/>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1F78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197D3-6300-43CF-8EE3-9CF8C571D0AB}">
  <ds:schemaRefs/>
</ds:datastoreItem>
</file>

<file path=docProps/app.xml><?xml version="1.0" encoding="utf-8"?>
<Properties xmlns="http://schemas.openxmlformats.org/officeDocument/2006/extended-properties" xmlns:vt="http://schemas.openxmlformats.org/officeDocument/2006/docPropsVTypes">
  <Template>tmp2.dotx</Template>
  <Company>ths</Company>
  <Pages>1</Pages>
  <Words>1225</Words>
  <Characters>6985</Characters>
  <Lines>58</Lines>
  <Paragraphs>16</Paragraphs>
  <TotalTime>26</TotalTime>
  <ScaleCrop>false</ScaleCrop>
  <LinksUpToDate>false</LinksUpToDate>
  <CharactersWithSpaces>8194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2021-01-03T08:29:00Z</dcterms:created>
  <dc:creator>Windows 用户</dc:creator>
  <cp:lastModifiedBy>333</cp:lastModifiedBy>
  <cp:lastPrinted>1900-12-31T16:00:00Z</cp:lastPrinted>
  <dcterms:modified xsi:type="dcterms:W3CDTF">2021-03-11T08:16:58Z</dcterms:modified>
  <dc:title>室外风环境模拟分析报告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