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绿色建筑慢游</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烟台大学建筑学院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2022年1月3日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T19553582067</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_Toc30813 </w:instrText>
      </w:r>
      <w:r>
        <w:rPr>
          <w:rFonts w:ascii="宋体" w:hAnsi="宋体"/>
          <w:caps/>
        </w:rPr>
        <w:fldChar w:fldCharType="separate"/>
      </w:r>
      <w:r>
        <w:t xml:space="preserve">1 </w:t>
      </w:r>
      <w:r>
        <w:rPr>
          <w:rFonts w:hint="eastAsia"/>
        </w:rPr>
        <w:t>建筑概况</w:t>
      </w:r>
      <w:r>
        <w:tab/>
      </w:r>
      <w:r>
        <w:fldChar w:fldCharType="begin"/>
      </w:r>
      <w:r>
        <w:instrText xml:space="preserve"> PAGEREF _Toc30813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_Toc16023 </w:instrText>
      </w:r>
      <w:r>
        <w:fldChar w:fldCharType="separate"/>
      </w:r>
      <w:r>
        <w:t xml:space="preserve">2 </w:t>
      </w:r>
      <w:r>
        <w:rPr>
          <w:rFonts w:hint="eastAsia"/>
        </w:rPr>
        <w:t>评价依据</w:t>
      </w:r>
      <w:r>
        <w:tab/>
      </w:r>
      <w:r>
        <w:fldChar w:fldCharType="begin"/>
      </w:r>
      <w:r>
        <w:instrText xml:space="preserve"> PAGEREF _Toc16023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_Toc3145 </w:instrText>
      </w:r>
      <w:r>
        <w:fldChar w:fldCharType="separate"/>
      </w:r>
      <w:r>
        <w:t xml:space="preserve">3 </w:t>
      </w:r>
      <w:r>
        <w:rPr>
          <w:rFonts w:hint="eastAsia"/>
        </w:rPr>
        <w:t>标准</w:t>
      </w:r>
      <w:r>
        <w:t>要求</w:t>
      </w:r>
      <w:r>
        <w:tab/>
      </w:r>
      <w:r>
        <w:fldChar w:fldCharType="begin"/>
      </w:r>
      <w:r>
        <w:instrText xml:space="preserve"> PAGEREF _Toc3145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_Toc27648 </w:instrText>
      </w:r>
      <w:r>
        <w:fldChar w:fldCharType="separate"/>
      </w:r>
      <w:r>
        <w:rPr>
          <w:kern w:val="2"/>
        </w:rPr>
        <w:t xml:space="preserve">4 </w:t>
      </w:r>
      <w:r>
        <w:rPr>
          <w:rFonts w:hint="eastAsia"/>
          <w:kern w:val="2"/>
        </w:rPr>
        <w:t>计算原理</w:t>
      </w:r>
      <w:r>
        <w:tab/>
      </w:r>
      <w:r>
        <w:fldChar w:fldCharType="begin"/>
      </w:r>
      <w:r>
        <w:instrText xml:space="preserve"> PAGEREF _Toc27648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_Toc13482 </w:instrText>
      </w:r>
      <w:r>
        <w:fldChar w:fldCharType="separate"/>
      </w:r>
      <w:r>
        <w:t xml:space="preserve">4.1 </w:t>
      </w:r>
      <w:r>
        <w:rPr>
          <w:rFonts w:hint="eastAsia"/>
        </w:rPr>
        <w:t>最不利</w:t>
      </w:r>
      <w:r>
        <w:t>房间确定</w:t>
      </w:r>
      <w:r>
        <w:tab/>
      </w:r>
      <w:r>
        <w:fldChar w:fldCharType="begin"/>
      </w:r>
      <w:r>
        <w:instrText xml:space="preserve"> PAGEREF _Toc13482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_Toc7340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_Toc7340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_Toc29266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_Toc29266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_Toc3403 </w:instrText>
      </w:r>
      <w:r>
        <w:fldChar w:fldCharType="separate"/>
      </w:r>
      <w:r>
        <w:t xml:space="preserve">5.1 </w:t>
      </w:r>
      <w:r>
        <w:rPr>
          <w:rFonts w:hint="eastAsia"/>
        </w:rPr>
        <w:t>室外</w:t>
      </w:r>
      <w:r>
        <w:t>边界噪声</w:t>
      </w:r>
      <w:r>
        <w:tab/>
      </w:r>
      <w:r>
        <w:fldChar w:fldCharType="begin"/>
      </w:r>
      <w:r>
        <w:instrText xml:space="preserve"> PAGEREF _Toc3403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_Toc22994 </w:instrText>
      </w:r>
      <w:r>
        <w:fldChar w:fldCharType="separate"/>
      </w:r>
      <w:r>
        <w:t>5.2 构件空气声隔声</w:t>
      </w:r>
      <w:r>
        <w:tab/>
      </w:r>
      <w:r>
        <w:fldChar w:fldCharType="begin"/>
      </w:r>
      <w:r>
        <w:instrText xml:space="preserve"> PAGEREF _Toc22994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_Toc2140 </w:instrText>
      </w:r>
      <w:r>
        <w:fldChar w:fldCharType="separate"/>
      </w:r>
      <w:r>
        <w:t xml:space="preserve">5.3 </w:t>
      </w:r>
      <w:r>
        <w:rPr>
          <w:rFonts w:hint="eastAsia"/>
        </w:rPr>
        <w:t>房间</w:t>
      </w:r>
      <w:r>
        <w:t>总吸声量计算</w:t>
      </w:r>
      <w:r>
        <w:tab/>
      </w:r>
      <w:r>
        <w:fldChar w:fldCharType="begin"/>
      </w:r>
      <w:r>
        <w:instrText xml:space="preserve"> PAGEREF _Toc2140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_Toc15120 </w:instrText>
      </w:r>
      <w:r>
        <w:fldChar w:fldCharType="separate"/>
      </w:r>
      <w:r>
        <w:t xml:space="preserve">5.4 </w:t>
      </w:r>
      <w:r>
        <w:rPr>
          <w:rFonts w:hint="eastAsia"/>
        </w:rPr>
        <w:t>组合墙</w:t>
      </w:r>
      <w:r>
        <w:t>空气声隔声量计算</w:t>
      </w:r>
      <w:r>
        <w:tab/>
      </w:r>
      <w:r>
        <w:fldChar w:fldCharType="begin"/>
      </w:r>
      <w:r>
        <w:instrText xml:space="preserve"> PAGEREF _Toc15120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_Toc14316 </w:instrText>
      </w:r>
      <w:r>
        <w:fldChar w:fldCharType="separate"/>
      </w:r>
      <w:r>
        <w:t xml:space="preserve">5.4.1 </w:t>
      </w:r>
      <w:r>
        <w:rPr>
          <w:rFonts w:hint="eastAsia"/>
        </w:rPr>
        <w:t>组合墙</w:t>
      </w:r>
      <w:r>
        <w:t>有效隔声量</w:t>
      </w:r>
      <w:r>
        <w:tab/>
      </w:r>
      <w:r>
        <w:fldChar w:fldCharType="begin"/>
      </w:r>
      <w:r>
        <w:instrText xml:space="preserve"> PAGEREF _Toc14316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_Toc21156 </w:instrText>
      </w:r>
      <w:r>
        <w:fldChar w:fldCharType="separate"/>
      </w:r>
      <w:r>
        <w:t xml:space="preserve">5.4.2 </w:t>
      </w:r>
      <w:r>
        <w:rPr>
          <w:rFonts w:hint="eastAsia"/>
        </w:rPr>
        <w:t>组合墙</w:t>
      </w:r>
      <w:r>
        <w:t>隔声单值评价量、频谱修正量</w:t>
      </w:r>
      <w:r>
        <w:tab/>
      </w:r>
      <w:r>
        <w:fldChar w:fldCharType="begin"/>
      </w:r>
      <w:r>
        <w:instrText xml:space="preserve"> PAGEREF _Toc21156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_Toc7684 </w:instrText>
      </w:r>
      <w:r>
        <w:fldChar w:fldCharType="separate"/>
      </w:r>
      <w:r>
        <w:t xml:space="preserve">5.4.3 </w:t>
      </w:r>
      <w:r>
        <w:rPr>
          <w:rFonts w:hint="eastAsia"/>
        </w:rPr>
        <w:t>缝隙对组合墙隔声量的影响</w:t>
      </w:r>
      <w:r>
        <w:tab/>
      </w:r>
      <w:r>
        <w:fldChar w:fldCharType="begin"/>
      </w:r>
      <w:r>
        <w:instrText xml:space="preserve"> PAGEREF _Toc7684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_Toc15097 </w:instrText>
      </w:r>
      <w:r>
        <w:fldChar w:fldCharType="separate"/>
      </w:r>
      <w:r>
        <w:t xml:space="preserve">5.4.4 </w:t>
      </w:r>
      <w:r>
        <w:rPr>
          <w:rFonts w:hint="eastAsia"/>
        </w:rPr>
        <w:t>组合墙隔声量计算过程</w:t>
      </w:r>
      <w:r>
        <w:tab/>
      </w:r>
      <w:r>
        <w:fldChar w:fldCharType="begin"/>
      </w:r>
      <w:r>
        <w:instrText xml:space="preserve"> PAGEREF _Toc15097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_Toc12745 </w:instrText>
      </w:r>
      <w:r>
        <w:fldChar w:fldCharType="separate"/>
      </w:r>
      <w:r>
        <w:t xml:space="preserve">5.5 </w:t>
      </w:r>
      <w:r>
        <w:rPr>
          <w:rFonts w:hint="eastAsia"/>
        </w:rPr>
        <w:t>室外环境噪声通过组合墙传到室内的噪声级计算</w:t>
      </w:r>
      <w:r>
        <w:tab/>
      </w:r>
      <w:r>
        <w:fldChar w:fldCharType="begin"/>
      </w:r>
      <w:r>
        <w:instrText xml:space="preserve"> PAGEREF _Toc12745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_Toc17278 </w:instrText>
      </w:r>
      <w:r>
        <w:fldChar w:fldCharType="separate"/>
      </w:r>
      <w:r>
        <w:t xml:space="preserve">5.6 </w:t>
      </w:r>
      <w:r>
        <w:rPr>
          <w:rFonts w:hint="eastAsia"/>
        </w:rPr>
        <w:t>室内声源的影响</w:t>
      </w:r>
      <w:r>
        <w:tab/>
      </w:r>
      <w:r>
        <w:fldChar w:fldCharType="begin"/>
      </w:r>
      <w:r>
        <w:instrText xml:space="preserve"> PAGEREF _Toc17278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_Toc20061 </w:instrText>
      </w:r>
      <w:r>
        <w:fldChar w:fldCharType="separate"/>
      </w:r>
      <w:r>
        <w:t xml:space="preserve">5.7 </w:t>
      </w:r>
      <w:r>
        <w:rPr>
          <w:rFonts w:hint="eastAsia"/>
        </w:rPr>
        <w:t>室内噪声级计算</w:t>
      </w:r>
      <w:r>
        <w:tab/>
      </w:r>
      <w:r>
        <w:fldChar w:fldCharType="begin"/>
      </w:r>
      <w:r>
        <w:instrText xml:space="preserve"> PAGEREF _Toc20061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_Toc18038 </w:instrText>
      </w:r>
      <w:r>
        <w:fldChar w:fldCharType="separate"/>
      </w:r>
      <w:r>
        <w:rPr>
          <w:kern w:val="2"/>
        </w:rPr>
        <w:t xml:space="preserve">6 </w:t>
      </w:r>
      <w:r>
        <w:rPr>
          <w:rFonts w:hint="eastAsia"/>
          <w:kern w:val="2"/>
        </w:rPr>
        <w:t>结论</w:t>
      </w:r>
      <w:r>
        <w:tab/>
      </w:r>
      <w:r>
        <w:fldChar w:fldCharType="begin"/>
      </w:r>
      <w:r>
        <w:instrText xml:space="preserve"> PAGEREF _Toc18038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30813"/>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绿色建筑慢游</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5792</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7</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23.1</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103</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目标</w:t>
      </w:r>
      <w:r>
        <w:rPr>
          <w:lang w:val="en-US"/>
        </w:rPr>
        <w:t>建筑模型</w:t>
      </w:r>
    </w:p>
    <w:p>
      <w:pPr>
        <w:pStyle w:val="2"/>
      </w:pPr>
      <w:bookmarkStart w:id="21" w:name="_Toc16023"/>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
      </w:pPr>
      <w:bookmarkStart w:id="23" w:name="_Toc3145"/>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
        </w:rPr>
      </w:pPr>
      <w:r>
        <w:rPr>
          <w:rFonts w:hint="eastAsia"/>
          <w:b/>
        </w:rPr>
        <w:t>控制项要求</w:t>
      </w:r>
      <w:r>
        <w:rPr>
          <w:b/>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
        </w:rPr>
      </w:pPr>
      <w:r>
        <w:rPr>
          <w:rFonts w:hint="eastAsia"/>
          <w:b/>
        </w:rPr>
        <w:t>评分项要求</w:t>
      </w:r>
      <w:r>
        <w:rPr>
          <w:b/>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27648"/>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3482"/>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7340"/>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w:t>
      </w:r>
      <w:r>
        <w:rPr>
          <w:b/>
          <w:lang w:val="en-US"/>
        </w:rPr>
        <w:t>环境噪声</w:t>
      </w:r>
      <w:r>
        <w:rPr>
          <w:rFonts w:hint="eastAsia"/>
          <w:b/>
          <w:lang w:val="en-US"/>
        </w:rPr>
        <w:t>源</w:t>
      </w:r>
      <w:r>
        <w:rPr>
          <w:rFonts w:hint="eastAsia"/>
          <w:lang w:val="en-US"/>
        </w:rPr>
        <w:t>、</w:t>
      </w:r>
      <w:r>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9266"/>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1284房间,房间类型[卧室]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13811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9"/>
                    <a:stretch>
                      <a:fillRect/>
                    </a:stretch>
                  </pic:blipFill>
                  <pic:spPr>
                    <a:xfrm>
                      <a:off x="0" y="0"/>
                      <a:ext cx="5667375" cy="13811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3403"/>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22994"/>
      <w:r>
        <w:t>构件空气声隔声</w:t>
      </w:r>
      <w:bookmarkEnd w:id="35"/>
    </w:p>
    <w:p>
      <w:pPr>
        <w:pStyle w:val="3"/>
        <w:ind w:firstLine="420" w:firstLineChars="200"/>
      </w:pPr>
      <w:bookmarkStart w:id="67" w:name="_GoBack"/>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bookmarkEnd w:id="67"/>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jc w:val="center"/>
        <w:rPr>
          <w:lang w:val="en-US"/>
        </w:rPr>
      </w:pPr>
      <w:bookmarkStart w:id="36" w:name="最不利房间围护结构材料清单"/>
      <w:bookmarkEnd w:id="36"/>
    </w:p>
    <w:p>
      <w:pPr>
        <w:pStyle w:val="3"/>
        <w:numPr>
          <w:ilvl w:val="0"/>
          <w:numId w:val="5"/>
        </w:numPr>
        <w:rPr>
          <w:lang w:val="en-US"/>
        </w:rPr>
      </w:pPr>
      <w:r>
        <w:rPr>
          <w:rFonts w:hint="eastAsia"/>
          <w:lang w:val="en-US"/>
        </w:rPr>
        <w:t>符合质量定律的构件，可按面密度m计算各频率下的空气声隔声量：</w:t>
      </w:r>
      <w:r>
        <w:rPr>
          <w:lang w:val="en-US"/>
        </w:rPr>
        <w:t xml:space="preserve"> </w:t>
      </w:r>
    </w:p>
    <w:p>
      <w:pPr>
        <w:pStyle w:val="3"/>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ind w:left="360" w:leftChars="200" w:firstLine="420"/>
        <w:rPr>
          <w:rFonts w:ascii="Cambria Math" w:hAnsi="Cambria Math"/>
        </w:rPr>
      </w:pPr>
      <w:r>
        <w:rPr>
          <w:rFonts w:hint="eastAsia"/>
        </w:rPr>
        <w:t>式中：</w:t>
      </w: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ind w:left="360" w:leftChars="200" w:firstLine="420"/>
        <w:rPr>
          <w:kern w:val="2"/>
          <w:sz w:val="18"/>
          <w:lang w:val="en-US"/>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外窗(C1818)</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36.0</w:t>
            </w:r>
          </w:p>
        </w:tc>
        <w:tc>
          <w:tcPr>
            <w:vAlign w:val="center"/>
          </w:tcPr>
          <w:p>
            <w:r>
              <w:t>41.0</w:t>
            </w:r>
          </w:p>
        </w:tc>
        <w:tc>
          <w:tcPr>
            <w:vAlign w:val="center"/>
          </w:tcPr>
          <w:p>
            <w:r>
              <w:t>49.0</w:t>
            </w:r>
          </w:p>
        </w:tc>
        <w:tc>
          <w:tcPr>
            <w:vAlign w:val="center"/>
          </w:tcPr>
          <w:p>
            <w:r>
              <w:t>48.0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6+0.76PVB+6+100A+9.5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4" w:name="门窗隔声量"/>
      <w:bookmarkEnd w:id="44"/>
    </w:p>
    <w:p>
      <w:pPr>
        <w:pStyle w:val="4"/>
      </w:pPr>
      <w:bookmarkStart w:id="45" w:name="_Toc2140"/>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05pt;width:72.7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5.6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5.6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35pt;width:12.9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49.4</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9.6</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内窗(C0921)</w:t>
            </w:r>
          </w:p>
        </w:tc>
        <w:tc>
          <w:tcPr>
            <w:shd w:val="clear" w:color="auto" w:fill="E6E6E6"/>
            <w:vAlign w:val="center"/>
          </w:tcPr>
          <w:p>
            <w:r>
              <w:t>1.9</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内门(M1221)</w:t>
            </w:r>
          </w:p>
        </w:tc>
        <w:tc>
          <w:tcPr>
            <w:shd w:val="clear" w:color="auto" w:fill="E6E6E6"/>
            <w:vAlign w:val="center"/>
          </w:tcPr>
          <w:p>
            <w:r>
              <w:t>2.5</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外窗(C1818)</w:t>
            </w:r>
          </w:p>
        </w:tc>
        <w:tc>
          <w:tcPr>
            <w:shd w:val="clear" w:color="auto" w:fill="E6E6E6"/>
            <w:vAlign w:val="center"/>
          </w:tcPr>
          <w:p>
            <w:r>
              <w:t>3.2</w:t>
            </w:r>
          </w:p>
        </w:tc>
        <w:tc>
          <w:tcPr>
            <w:vAlign w:val="center"/>
          </w:tcPr>
          <w:p>
            <w:r>
              <w:t>0.100</w:t>
            </w:r>
          </w:p>
        </w:tc>
        <w:tc>
          <w:tcPr>
            <w:vAlign w:val="center"/>
          </w:tcPr>
          <w:p>
            <w:r>
              <w:t>0.110</w:t>
            </w:r>
          </w:p>
        </w:tc>
        <w:tc>
          <w:tcPr>
            <w:vAlign w:val="center"/>
          </w:tcPr>
          <w:p>
            <w:r>
              <w:t>0.110</w:t>
            </w:r>
          </w:p>
        </w:tc>
        <w:tc>
          <w:tcPr>
            <w:vAlign w:val="center"/>
          </w:tcPr>
          <w:p>
            <w:r>
              <w:t>0.090</w:t>
            </w:r>
          </w:p>
        </w:tc>
        <w:tc>
          <w:tcPr>
            <w:vAlign w:val="center"/>
          </w:tcPr>
          <w:p>
            <w:r>
              <w:t>0.090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w:t>
            </w:r>
          </w:p>
        </w:tc>
        <w:tc>
          <w:tcPr>
            <w:shd w:val="clear" w:color="auto" w:fill="E6E6E6"/>
            <w:vAlign w:val="center"/>
          </w:tcPr>
          <w:p>
            <w:r>
              <w:t>20.5</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20.5</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1.0</w:t>
            </w:r>
          </w:p>
        </w:tc>
        <w:tc>
          <w:tcPr>
            <w:vAlign w:val="center"/>
          </w:tcPr>
          <w:p>
            <w:r>
              <w:t>1.0</w:t>
            </w:r>
          </w:p>
        </w:tc>
        <w:tc>
          <w:tcPr>
            <w:vAlign w:val="center"/>
          </w:tcPr>
          <w:p>
            <w:r>
              <w:t>0.8</w:t>
            </w:r>
          </w:p>
        </w:tc>
        <w:tc>
          <w:tcPr>
            <w:vAlign w:val="center"/>
          </w:tcPr>
          <w:p>
            <w:r>
              <w:t>0.7</w:t>
            </w:r>
          </w:p>
        </w:tc>
        <w:tc>
          <w:tcPr>
            <w:vAlign w:val="center"/>
          </w:tcPr>
          <w:p>
            <w:r>
              <w:t>0.7</w:t>
            </w:r>
          </w:p>
        </w:tc>
        <w:tc>
          <w:tcPr>
            <w:vAlign w:val="center"/>
          </w:tcPr>
          <w:p/>
        </w:tc>
      </w:tr>
    </w:tbl>
    <w:p>
      <w:pPr>
        <w:jc w:val="center"/>
        <w:rPr>
          <w:lang w:val="en-US"/>
        </w:rPr>
      </w:pPr>
      <w:bookmarkStart w:id="46" w:name="围护结构吸声量"/>
      <w:bookmarkEnd w:id="46"/>
    </w:p>
    <w:p>
      <w:pPr>
        <w:pStyle w:val="4"/>
      </w:pPr>
      <w:bookmarkStart w:id="47" w:name="_Toc15120"/>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w:t>
      </w:r>
      <w:r>
        <w:rPr>
          <w:rFonts w:hint="eastAsia"/>
          <w:b/>
        </w:rPr>
        <w:t>房间吸声</w:t>
      </w:r>
      <w:r>
        <w:rPr>
          <w:rFonts w:hint="eastAsia"/>
        </w:rPr>
        <w:t>、</w:t>
      </w:r>
      <w:r>
        <w:rPr>
          <w:rFonts w:hint="eastAsia"/>
          <w:b/>
        </w:rPr>
        <w:t>孔洞缝隙</w:t>
      </w:r>
      <w:r>
        <w:rPr>
          <w:rFonts w:hint="eastAsia"/>
        </w:rPr>
        <w:t>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4316"/>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3.6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pt;width:16.3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7pt;width:13.6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pt;width:15.6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21156"/>
      <w:r>
        <w:rPr>
          <w:rFonts w:hint="eastAsia"/>
        </w:rPr>
        <w:t>组合墙</w:t>
      </w:r>
      <w:r>
        <w:t>隔声单值评价量、频谱修正量</w:t>
      </w:r>
      <w:bookmarkEnd w:id="49"/>
    </w:p>
    <w:p>
      <w:pPr>
        <w:pStyle w:val="3"/>
        <w:ind w:firstLine="420"/>
        <w:rPr>
          <w:kern w:val="2"/>
          <w:szCs w:val="24"/>
          <w:lang w:val="en-US"/>
        </w:rPr>
      </w:pPr>
      <w:r>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3pt;width:16.3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3pt;width:12.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3.6pt;width:12.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1213" o:spid="_x0000_s1213" o:spt="75" type="#_x0000_t75" style="position:absolute;left:0pt;margin-left:111.45pt;margin-top:34.95pt;height:22.7pt;width:156.8pt;z-index:25166950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7684"/>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35pt;width:13.6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35pt;width:13.6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420" w:firstLineChars="200"/>
      </w:pPr>
      <w:r>
        <w:rPr>
          <w:rFonts w:hint="eastAsia" w:ascii="黑体" w:hAnsi="黑体" w:eastAsia="黑体"/>
        </w:rPr>
        <w:t>注：一般的门</w:t>
      </w:r>
      <w:r>
        <w:rPr>
          <w:rFonts w:ascii="黑体" w:hAnsi="黑体" w:eastAsia="黑体"/>
        </w:rPr>
        <w:t>/</w:t>
      </w:r>
      <w:r>
        <w:rPr>
          <w:rFonts w:hint="eastAsia" w:ascii="黑体" w:hAnsi="黑体" w:eastAsia="黑体"/>
        </w:rPr>
        <w:t>窗与墙之间的缝隙为</w:t>
      </w:r>
      <w:r>
        <w:rPr>
          <w:rFonts w:ascii="黑体" w:hAnsi="黑体" w:eastAsia="黑体"/>
        </w:rPr>
        <w:t>0.5cm</w:t>
      </w:r>
      <w:r>
        <w:rPr>
          <w:rFonts w:hint="eastAsia" w:ascii="黑体" w:hAnsi="黑体" w:eastAsia="黑体"/>
        </w:rPr>
        <w:t>（装配式）和</w:t>
      </w:r>
      <w:r>
        <w:rPr>
          <w:rFonts w:ascii="黑体" w:hAnsi="黑体" w:eastAsia="黑体"/>
        </w:rPr>
        <w:t>1cm</w:t>
      </w:r>
      <w:r>
        <w:rPr>
          <w:rFonts w:hint="eastAsia" w:ascii="黑体" w:hAnsi="黑体" w:eastAsia="黑体"/>
        </w:rPr>
        <w:t>（非装配式）。</w:t>
      </w:r>
    </w:p>
    <w:p>
      <w:pPr>
        <w:pStyle w:val="5"/>
      </w:pPr>
      <w:bookmarkStart w:id="51" w:name="_Toc15097"/>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外墙1+外窗(C1818)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外窗(C1818)隔声量(dB)</w:t>
            </w:r>
          </w:p>
        </w:tc>
        <w:tc>
          <w:tcPr>
            <w:vAlign w:val="center"/>
          </w:tcPr>
          <w:p>
            <w:r>
              <w:t>36.0</w:t>
            </w:r>
          </w:p>
        </w:tc>
        <w:tc>
          <w:tcPr>
            <w:vAlign w:val="center"/>
          </w:tcPr>
          <w:p>
            <w:r>
              <w:t>41.0</w:t>
            </w:r>
          </w:p>
        </w:tc>
        <w:tc>
          <w:tcPr>
            <w:vAlign w:val="center"/>
          </w:tcPr>
          <w:p>
            <w:r>
              <w:t>49.0</w:t>
            </w:r>
          </w:p>
        </w:tc>
        <w:tc>
          <w:tcPr>
            <w:vAlign w:val="center"/>
          </w:tcPr>
          <w:p>
            <w:r>
              <w:t>48.0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0.000083</w:t>
            </w:r>
          </w:p>
        </w:tc>
        <w:tc>
          <w:tcPr>
            <w:vAlign w:val="center"/>
          </w:tcPr>
          <w:p>
            <w:r>
              <w:t>0.000030</w:t>
            </w:r>
          </w:p>
        </w:tc>
        <w:tc>
          <w:tcPr>
            <w:vAlign w:val="center"/>
          </w:tcPr>
          <w:p>
            <w:r>
              <w:t>0.000008</w:t>
            </w:r>
          </w:p>
        </w:tc>
        <w:tc>
          <w:tcPr>
            <w:vAlign w:val="center"/>
          </w:tcPr>
          <w:p>
            <w:r>
              <w:t>0.000007</w:t>
            </w:r>
          </w:p>
        </w:tc>
        <w:tc>
          <w:tcPr>
            <w:vAlign w:val="center"/>
          </w:tcPr>
          <w:p>
            <w:r>
              <w:t>0.000004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40.9</w:t>
            </w:r>
          </w:p>
        </w:tc>
        <w:tc>
          <w:tcPr>
            <w:vAlign w:val="center"/>
          </w:tcPr>
          <w:p>
            <w:r>
              <w:t>45.4</w:t>
            </w:r>
          </w:p>
        </w:tc>
        <w:tc>
          <w:tcPr>
            <w:vAlign w:val="center"/>
          </w:tcPr>
          <w:p>
            <w:r>
              <w:t>51.4</w:t>
            </w:r>
          </w:p>
        </w:tc>
        <w:tc>
          <w:tcPr>
            <w:vAlign w:val="center"/>
          </w:tcPr>
          <w:p>
            <w:r>
              <w:t>52.3</w:t>
            </w:r>
          </w:p>
        </w:tc>
        <w:tc>
          <w:tcPr>
            <w:vAlign w:val="center"/>
          </w:tcPr>
          <w:p>
            <w: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29.9</w:t>
            </w:r>
          </w:p>
        </w:tc>
        <w:tc>
          <w:tcPr>
            <w:vAlign w:val="center"/>
          </w:tcPr>
          <w:p>
            <w:r>
              <w:t>34.4</w:t>
            </w:r>
          </w:p>
        </w:tc>
        <w:tc>
          <w:tcPr>
            <w:vAlign w:val="center"/>
          </w:tcPr>
          <w:p>
            <w:r>
              <w:t>39.3</w:t>
            </w:r>
          </w:p>
        </w:tc>
        <w:tc>
          <w:tcPr>
            <w:vAlign w:val="center"/>
          </w:tcPr>
          <w:p>
            <w:r>
              <w:t>39.9</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31</w:t>
            </w:r>
          </w:p>
        </w:tc>
      </w:tr>
    </w:tbl>
    <w:p>
      <w:pPr>
        <w:jc w:val="center"/>
        <w:rPr>
          <w:lang w:val="en-US"/>
        </w:rPr>
      </w:pPr>
      <w:bookmarkStart w:id="53" w:name="组合墙隔声量"/>
      <w:bookmarkEnd w:id="53"/>
    </w:p>
    <w:p>
      <w:pPr>
        <w:pStyle w:val="4"/>
      </w:pPr>
      <w:bookmarkStart w:id="54" w:name="_Toc12745"/>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8.05pt;width:118.2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7pt;width:33.9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7pt;width:22.4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7pt;width:23.1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7pt;width:26.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外墙1+外窗(C1818)</w:t>
            </w:r>
          </w:p>
        </w:tc>
        <w:tc>
          <w:tcPr>
            <w:vAlign w:val="center"/>
          </w:tcPr>
          <w:p>
            <w:r>
              <w:t>55</w:t>
            </w:r>
          </w:p>
        </w:tc>
        <w:tc>
          <w:tcPr>
            <w:vAlign w:val="center"/>
          </w:tcPr>
          <w:p>
            <w:r>
              <w:t>45</w:t>
            </w:r>
          </w:p>
        </w:tc>
        <w:tc>
          <w:tcPr>
            <w:vAlign w:val="center"/>
          </w:tcPr>
          <w:p>
            <w:r>
              <w:t>31</w:t>
            </w:r>
          </w:p>
        </w:tc>
        <w:tc>
          <w:tcPr>
            <w:vAlign w:val="center"/>
          </w:tcPr>
          <w:p>
            <w:r>
              <w:t>31</w:t>
            </w:r>
          </w:p>
        </w:tc>
        <w:tc>
          <w:tcPr>
            <w:vAlign w:val="center"/>
          </w:tcPr>
          <w:p>
            <w:r>
              <w:t>24</w:t>
            </w:r>
          </w:p>
        </w:tc>
        <w:tc>
          <w:tcPr>
            <w:vAlign w:val="center"/>
          </w:tcPr>
          <w:p>
            <w:r>
              <w:t>14</w:t>
            </w:r>
          </w:p>
        </w:tc>
      </w:tr>
    </w:tbl>
    <w:p>
      <w:pPr>
        <w:jc w:val="center"/>
      </w:pPr>
      <w:bookmarkStart w:id="55" w:name="组合墙传到室内噪声级"/>
      <w:bookmarkEnd w:id="55"/>
    </w:p>
    <w:p/>
    <w:p>
      <w:pPr>
        <w:pStyle w:val="3"/>
        <w:ind w:firstLine="420" w:firstLineChars="200"/>
        <w:rPr>
          <w:b/>
          <w:lang w:val="en-US"/>
        </w:rPr>
      </w:pPr>
      <w:r>
        <w:rPr>
          <w:rFonts w:hint="eastAsia"/>
          <w:b/>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24</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14</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17278"/>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7pt;width:15.6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20061"/>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7pt;width:15.6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7pt;width:26.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7pt;width:15.6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rPr>
                <w:b/>
              </w:rPr>
              <w:t>24</w:t>
            </w:r>
          </w:p>
        </w:tc>
        <w:tc>
          <w:tcPr>
            <w:vAlign w:val="center"/>
          </w:tcPr>
          <w:p>
            <w:pPr>
              <w:jc w:val="center"/>
            </w:pPr>
            <w:r>
              <w:rPr>
                <w:b/>
              </w:rPr>
              <w:t>14</w:t>
            </w:r>
          </w:p>
        </w:tc>
        <w:tc>
          <w:tcPr>
            <w:vAlign w:val="center"/>
          </w:tcPr>
          <w:p>
            <w:pPr>
              <w:jc w:val="center"/>
            </w:pPr>
            <w:r>
              <w:t>低限:≤45,高要求:≤40</w:t>
            </w:r>
          </w:p>
        </w:tc>
        <w:tc>
          <w:tcPr>
            <w:vAlign w:val="center"/>
          </w:tcPr>
          <w:p>
            <w:pPr>
              <w:jc w:val="center"/>
            </w:pPr>
            <w:r>
              <w:t>低限:≤37,高要求:≤30</w:t>
            </w:r>
          </w:p>
        </w:tc>
        <w:tc>
          <w:tcPr>
            <w:vAlign w:val="center"/>
          </w:tcPr>
          <w:p>
            <w:r>
              <w:rPr>
                <w:b/>
              </w:rPr>
              <w:t>满足高要求</w:t>
            </w:r>
          </w:p>
        </w:tc>
      </w:tr>
    </w:tbl>
    <w:p>
      <w:pPr>
        <w:jc w:val="center"/>
      </w:pPr>
      <w:bookmarkStart w:id="61" w:name="最不利房间室内噪声级统计"/>
      <w:bookmarkEnd w:id="61"/>
    </w:p>
    <w:bookmarkEnd w:id="27"/>
    <w:p>
      <w:pPr>
        <w:pStyle w:val="2"/>
        <w:rPr>
          <w:kern w:val="2"/>
        </w:rPr>
      </w:pPr>
      <w:bookmarkStart w:id="62" w:name="_Toc18038"/>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1284房间,房间类型[卧室]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701" w:type="dxa"/>
            <w:vAlign w:val="center"/>
          </w:tcPr>
          <w:p>
            <w:pPr>
              <w:jc w:val="center"/>
            </w:pPr>
            <w:bookmarkStart w:id="64" w:name="室内噪声控制项结论"/>
            <w: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
                <w:sz w:val="18"/>
                <w:szCs w:val="18"/>
              </w:rPr>
            </w:pPr>
            <w:r>
              <w:rPr>
                <w:rFonts w:hint="eastAsia"/>
                <w:b/>
                <w:sz w:val="18"/>
                <w:szCs w:val="18"/>
              </w:rPr>
              <w:t>评分项：</w:t>
            </w:r>
          </w:p>
          <w:p>
            <w:pPr>
              <w:pStyle w:val="3"/>
              <w:rPr>
                <w:sz w:val="18"/>
                <w:szCs w:val="18"/>
              </w:rPr>
            </w:pPr>
            <w:r>
              <w:rPr>
                <w:sz w:val="18"/>
                <w:szCs w:val="18"/>
              </w:rPr>
              <w:t>5.2.6  主要功能房间</w:t>
            </w:r>
            <w:r>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pPr>
            <w:bookmarkStart w:id="65" w:name="室内噪声评分项结论"/>
            <w:r>
              <w:t>满足高要求</w:t>
            </w:r>
            <w:bookmarkEnd w:id="65"/>
          </w:p>
        </w:tc>
        <w:tc>
          <w:tcPr>
            <w:tcW w:w="724" w:type="dxa"/>
            <w:vAlign w:val="center"/>
          </w:tcPr>
          <w:p>
            <w:pPr>
              <w:jc w:val="center"/>
            </w:pPr>
            <w:bookmarkStart w:id="66" w:name="室内噪声得分"/>
            <w:r>
              <w:t>8</w:t>
            </w:r>
            <w:bookmarkEnd w:id="66"/>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0D6EB8"/>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 w:val="40242F4C"/>
    <w:rsid w:val="4D0D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0"/>
    <w:rPr>
      <w:rFonts w:ascii="微软雅黑" w:hAnsi="微软雅黑" w:eastAsia="微软雅黑" w:cs="微软雅黑"/>
      <w:b/>
      <w:bCs/>
      <w:iCs/>
      <w:color w:val="000000"/>
      <w:sz w:val="24"/>
      <w:szCs w:val="24"/>
    </w:rPr>
  </w:style>
  <w:style w:type="character" w:customStyle="1" w:styleId="30">
    <w:name w:val="标题 1 Char"/>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jr\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501D3-198A-437D-ADE8-A8492CA4515F}">
  <ds:schemaRefs/>
</ds:datastoreItem>
</file>

<file path=docProps/app.xml><?xml version="1.0" encoding="utf-8"?>
<Properties xmlns="http://schemas.openxmlformats.org/officeDocument/2006/extended-properties" xmlns:vt="http://schemas.openxmlformats.org/officeDocument/2006/docPropsVTypes">
  <Template>tmp32.dotx</Template>
  <Pages>11</Pages>
  <Words>4624</Words>
  <Characters>5684</Characters>
  <Lines>42</Lines>
  <Paragraphs>11</Paragraphs>
  <TotalTime>3</TotalTime>
  <ScaleCrop>false</ScaleCrop>
  <LinksUpToDate>false</LinksUpToDate>
  <CharactersWithSpaces>5830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2022-01-03T02:53:00Z</dcterms:created>
  <dc:creator>Heartless</dc:creator>
  <cp:lastModifiedBy>Heartless</cp:lastModifiedBy>
  <dcterms:modified xsi:type="dcterms:W3CDTF">2022-01-04T07:42:54Z</dcterms:modified>
  <dc:title>最不利房间室内噪声设计报告书_环评版</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