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rPr>
              <w:t>触Trigger——基于犀浦老城区更新的绿色建筑设计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成都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ascii="宋体" w:hAnsi="宋体"/>
              </w:rPr>
              <w:t>BK40764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hint="eastAsia" w:ascii="宋体" w:hAnsi="宋体" w:eastAsia="宋体"/>
                <w:szCs w:val="21"/>
                <w:lang w:val="en-US" w:eastAsia="zh-CN"/>
              </w:rPr>
            </w:pPr>
            <w:r>
              <w:rPr>
                <w:rFonts w:hint="eastAsia" w:ascii="宋体" w:hAnsi="宋体"/>
              </w:rPr>
              <w:t>曾睿思</w:t>
            </w:r>
            <w:r>
              <w:rPr>
                <w:rFonts w:hint="eastAsia" w:ascii="宋体" w:hAnsi="宋体"/>
                <w:lang w:val="en-US" w:eastAsia="zh-CN"/>
              </w:rPr>
              <w:t xml:space="preserve"> </w:t>
            </w:r>
            <w:r>
              <w:rPr>
                <w:rFonts w:hint="eastAsia" w:ascii="宋体" w:hAnsi="宋体"/>
              </w:rPr>
              <w:t>罗若澜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r>
              <w:rPr>
                <w:rFonts w:hint="eastAsia" w:ascii="宋体" w:hAnsi="宋体"/>
                <w:lang w:val="en-US" w:eastAsia="zh-CN"/>
              </w:rPr>
              <w:t xml:space="preserve"> </w:t>
            </w:r>
            <w:r>
              <w:rPr>
                <w:rFonts w:hint="eastAsia" w:ascii="宋体" w:hAnsi="宋体"/>
              </w:rPr>
              <w:t>罗若澜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r>
              <w:rPr>
                <w:rFonts w:hint="eastAsia" w:ascii="宋体" w:hAnsi="宋体"/>
              </w:rPr>
              <w:t>曾睿思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2022年01月06日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_Toc22409 </w:instrText>
      </w:r>
      <w:r>
        <w:rPr>
          <w:rFonts w:ascii="宋体" w:hAnsi="宋体"/>
          <w:bCs w:val="0"/>
          <w:caps/>
        </w:rPr>
        <w:fldChar w:fldCharType="separate"/>
      </w:r>
      <w:r>
        <w:rPr>
          <w:rFonts w:hint="eastAsia"/>
        </w:rPr>
        <w:t>1 项目概况</w:t>
      </w:r>
      <w:r>
        <w:tab/>
      </w:r>
      <w:r>
        <w:fldChar w:fldCharType="begin"/>
      </w:r>
      <w:r>
        <w:instrText xml:space="preserve"> PAGEREF _Toc22409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_Toc26058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_Toc26058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_Toc17710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_Toc17710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_Toc16379 </w:instrText>
      </w:r>
      <w:r>
        <w:fldChar w:fldCharType="separate"/>
      </w:r>
      <w:r>
        <w:rPr>
          <w:rFonts w:hint="eastAsia"/>
        </w:rPr>
        <w:t>2 计算</w:t>
      </w:r>
      <w:r>
        <w:t>依据</w:t>
      </w:r>
      <w:r>
        <w:tab/>
      </w:r>
      <w:r>
        <w:fldChar w:fldCharType="begin"/>
      </w:r>
      <w:r>
        <w:instrText xml:space="preserve"> PAGEREF _Toc16379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_Toc7766 </w:instrText>
      </w:r>
      <w:r>
        <w:fldChar w:fldCharType="separate"/>
      </w:r>
      <w:r>
        <w:rPr>
          <w:rFonts w:hint="eastAsia"/>
        </w:rPr>
        <w:t>3 参考</w:t>
      </w:r>
      <w:r>
        <w:t>标准</w:t>
      </w:r>
      <w:r>
        <w:tab/>
      </w:r>
      <w:r>
        <w:fldChar w:fldCharType="begin"/>
      </w:r>
      <w:r>
        <w:instrText xml:space="preserve"> PAGEREF _Toc7766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_Toc2549 </w:instrText>
      </w:r>
      <w:r>
        <w:fldChar w:fldCharType="separate"/>
      </w:r>
      <w:r>
        <w:rPr>
          <w:rFonts w:hint="eastAsia"/>
        </w:rPr>
        <w:t>4 计算原理</w:t>
      </w:r>
      <w:r>
        <w:tab/>
      </w:r>
      <w:r>
        <w:fldChar w:fldCharType="begin"/>
      </w:r>
      <w:r>
        <w:instrText xml:space="preserve"> PAGEREF _Toc2549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_Toc6711 </w:instrText>
      </w:r>
      <w:r>
        <w:fldChar w:fldCharType="separate"/>
      </w:r>
      <w:r>
        <w:rPr>
          <w:rFonts w:hint="eastAsia"/>
          <w:lang w:val="en-GB"/>
        </w:rPr>
        <w:t xml:space="preserve">4.1 </w:t>
      </w:r>
      <w:r>
        <w:rPr>
          <w:rFonts w:hint="eastAsia"/>
        </w:rPr>
        <w:t>风场计算域</w:t>
      </w:r>
      <w:r>
        <w:tab/>
      </w:r>
      <w:r>
        <w:fldChar w:fldCharType="begin"/>
      </w:r>
      <w:r>
        <w:instrText xml:space="preserve"> PAGEREF _Toc6711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_Toc31361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_Toc31361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_Toc18211 </w:instrText>
      </w:r>
      <w:r>
        <w:fldChar w:fldCharType="separate"/>
      </w:r>
      <w:r>
        <w:rPr>
          <w:rFonts w:hint="eastAsia"/>
          <w:lang w:val="en-GB"/>
        </w:rPr>
        <w:t xml:space="preserve">4.2 </w:t>
      </w:r>
      <w:r>
        <w:rPr>
          <w:rFonts w:hint="eastAsia"/>
        </w:rPr>
        <w:t>网格划分</w:t>
      </w:r>
      <w:r>
        <w:tab/>
      </w:r>
      <w:r>
        <w:fldChar w:fldCharType="begin"/>
      </w:r>
      <w:r>
        <w:instrText xml:space="preserve"> PAGEREF _Toc18211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_Toc30384 </w:instrText>
      </w:r>
      <w:r>
        <w:fldChar w:fldCharType="separate"/>
      </w:r>
      <w:r>
        <w:rPr>
          <w:rFonts w:hint="eastAsia"/>
          <w:lang w:val="en-GB"/>
        </w:rPr>
        <w:t xml:space="preserve">4.3 </w:t>
      </w:r>
      <w:r>
        <w:rPr>
          <w:rFonts w:hint="eastAsia"/>
        </w:rPr>
        <w:t>边界条件</w:t>
      </w:r>
      <w:r>
        <w:tab/>
      </w:r>
      <w:r>
        <w:fldChar w:fldCharType="begin"/>
      </w:r>
      <w:r>
        <w:instrText xml:space="preserve"> PAGEREF _Toc30384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_Toc19934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_Toc19934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_Toc25670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_Toc25670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_Toc9448 </w:instrText>
      </w:r>
      <w:r>
        <w:fldChar w:fldCharType="separate"/>
      </w:r>
      <w:r>
        <w:rPr>
          <w:rFonts w:hint="eastAsia"/>
          <w:lang w:val="en-GB"/>
        </w:rPr>
        <w:t xml:space="preserve">4.4 </w:t>
      </w:r>
      <w:r>
        <w:rPr>
          <w:rFonts w:hint="eastAsia"/>
        </w:rPr>
        <w:t>湍流模型</w:t>
      </w:r>
      <w:r>
        <w:tab/>
      </w:r>
      <w:r>
        <w:fldChar w:fldCharType="begin"/>
      </w:r>
      <w:r>
        <w:instrText xml:space="preserve"> PAGEREF _Toc9448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_Toc4197 </w:instrText>
      </w:r>
      <w:r>
        <w:fldChar w:fldCharType="separate"/>
      </w:r>
      <w:r>
        <w:rPr>
          <w:rFonts w:hint="eastAsia"/>
          <w:lang w:val="en-GB"/>
        </w:rPr>
        <w:t xml:space="preserve">4.5 </w:t>
      </w:r>
      <w:r>
        <w:rPr>
          <w:rFonts w:hint="eastAsia"/>
        </w:rPr>
        <w:t>求解计算</w:t>
      </w:r>
      <w:r>
        <w:tab/>
      </w:r>
      <w:r>
        <w:fldChar w:fldCharType="begin"/>
      </w:r>
      <w:r>
        <w:instrText xml:space="preserve"> PAGEREF _Toc4197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_Toc23282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_Toc23282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_Toc6673 </w:instrText>
      </w:r>
      <w:r>
        <w:fldChar w:fldCharType="separate"/>
      </w:r>
      <w:r>
        <w:rPr>
          <w:rFonts w:hint="eastAsia"/>
        </w:rPr>
        <w:t>5 结果</w:t>
      </w:r>
      <w:r>
        <w:t>分析</w:t>
      </w:r>
      <w:r>
        <w:tab/>
      </w:r>
      <w:r>
        <w:fldChar w:fldCharType="begin"/>
      </w:r>
      <w:r>
        <w:instrText xml:space="preserve"> PAGEREF _Toc6673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_Toc13853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_Toc13853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_Toc20844 </w:instrText>
      </w:r>
      <w:r>
        <w:fldChar w:fldCharType="separate"/>
      </w:r>
      <w:r>
        <w:rPr>
          <w:rFonts w:hint="eastAsia"/>
          <w:lang w:val="en-GB"/>
        </w:rPr>
        <w:t xml:space="preserve">5.2 </w:t>
      </w:r>
      <w:r>
        <w:rPr>
          <w:rFonts w:hint="eastAsia"/>
        </w:rPr>
        <w:t>冬季工况</w:t>
      </w:r>
      <w:r>
        <w:tab/>
      </w:r>
      <w:r>
        <w:fldChar w:fldCharType="begin"/>
      </w:r>
      <w:r>
        <w:instrText xml:space="preserve"> PAGEREF _Toc20844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_Toc21656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_Toc21656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_Toc8567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_Toc8567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_Toc30369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_Toc30369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_Toc18176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_Toc18176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_Toc7361 </w:instrText>
      </w:r>
      <w:r>
        <w:fldChar w:fldCharType="separate"/>
      </w:r>
      <w:r>
        <w:rPr>
          <w:rFonts w:hint="eastAsia"/>
          <w:lang w:val="en-GB"/>
        </w:rPr>
        <w:t xml:space="preserve">5.3 </w:t>
      </w:r>
      <w:r>
        <w:rPr>
          <w:rFonts w:hint="eastAsia"/>
        </w:rPr>
        <w:t>结论</w:t>
      </w:r>
      <w:r>
        <w:tab/>
      </w:r>
      <w:r>
        <w:fldChar w:fldCharType="begin"/>
      </w:r>
      <w:r>
        <w:instrText xml:space="preserve"> PAGEREF _Toc7361 \h </w:instrText>
      </w:r>
      <w:r>
        <w:fldChar w:fldCharType="separate"/>
      </w:r>
      <w:r>
        <w:t>18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_Toc25488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_Toc25488 \h </w:instrText>
      </w:r>
      <w:r>
        <w:fldChar w:fldCharType="separate"/>
      </w:r>
      <w:r>
        <w:t>18</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2409"/>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26058"/>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17710"/>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16379"/>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7766"/>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2108764"/>
      <w:bookmarkStart w:id="24" w:name="_Toc451698935"/>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2549"/>
      <w:r>
        <w:rPr>
          <w:rFonts w:hint="eastAsia"/>
        </w:rPr>
        <w:t>计算原理</w:t>
      </w:r>
      <w:bookmarkEnd w:id="26"/>
    </w:p>
    <w:p>
      <w:pPr>
        <w:pStyle w:val="4"/>
        <w:numPr>
          <w:ilvl w:val="1"/>
          <w:numId w:val="3"/>
        </w:numPr>
      </w:pPr>
      <w:bookmarkStart w:id="27" w:name="_Toc6711"/>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31361"/>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Z尺寸"/>
            <w:r>
              <w:t>322</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3"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4" w:name="_Toc18211"/>
      <w:bookmarkStart w:id="35" w:name="_Toc509844741"/>
      <w:r>
        <w:rPr>
          <w:rFonts w:hint="eastAsia"/>
        </w:rPr>
        <w:t>网格划分</w:t>
      </w:r>
      <w:bookmarkEnd w:id="34"/>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6" w:name="OLE_LINK276"/>
      <w:bookmarkStart w:id="37" w:name="OLE_LINK277"/>
      <w:r>
        <w:rPr>
          <w:rFonts w:hint="eastAsia"/>
        </w:rPr>
        <w:t>1）普通网格：指除靠近地面和建筑以外的网格，通常不需要特别加密处理</w:t>
      </w:r>
    </w:p>
    <w:p>
      <w:pPr>
        <w:pStyle w:val="12"/>
        <w:numPr>
          <w:ilvl w:val="0"/>
          <w:numId w:val="4"/>
        </w:numPr>
        <w:spacing w:before="156"/>
      </w:pPr>
      <w:bookmarkStart w:id="38"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1143237</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p>
        </w:tc>
      </w:tr>
    </w:tbl>
    <w:p>
      <w:pPr>
        <w:rPr>
          <w:szCs w:val="21"/>
          <w:lang w:val="en-US"/>
        </w:rPr>
      </w:pPr>
    </w:p>
    <w:p>
      <w:pPr>
        <w:pStyle w:val="3"/>
        <w:ind w:firstLine="630" w:firstLineChars="300"/>
        <w:rPr>
          <w:rFonts w:ascii="黑体" w:hAnsi="黑体" w:eastAsia="黑体"/>
          <w:szCs w:val="20"/>
        </w:rPr>
      </w:pPr>
      <w:bookmarkStart w:id="39" w:name="网格划分信息"/>
      <w:bookmarkEnd w:id="39"/>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0" w:name="_Toc509844742"/>
      <w:bookmarkStart w:id="41" w:name="_Toc30384"/>
      <w:r>
        <w:rPr>
          <w:rFonts w:hint="eastAsia"/>
        </w:rPr>
        <w:t>边界条件</w:t>
      </w:r>
      <w:bookmarkEnd w:id="40"/>
      <w:bookmarkEnd w:id="41"/>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2" w:name="_Toc509844743"/>
      <w:bookmarkStart w:id="43" w:name="_Toc19934"/>
      <w:r>
        <w:rPr>
          <w:rFonts w:hint="eastAsia"/>
        </w:rPr>
        <w:t>入口与出口边界条件</w:t>
      </w:r>
      <w:bookmarkEnd w:id="42"/>
      <w:bookmarkEnd w:id="43"/>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4" w:name="地面粗糙度指数2"/>
      <w:r>
        <w:rPr>
          <w:rFonts w:hint="eastAsia"/>
          <w:lang w:val="en-US"/>
        </w:rPr>
        <w:t>0.30</w:t>
      </w:r>
      <w:bookmarkEnd w:id="44"/>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5" w:name="_Toc25670"/>
      <w:bookmarkStart w:id="46" w:name="_Toc509844744"/>
      <w:r>
        <w:rPr>
          <w:rFonts w:hint="eastAsia"/>
        </w:rPr>
        <w:t>壁面边界条件</w:t>
      </w:r>
      <w:bookmarkEnd w:id="45"/>
      <w:bookmarkEnd w:id="46"/>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7" w:name="_Toc9448"/>
      <w:r>
        <w:rPr>
          <w:rFonts w:hint="eastAsia"/>
        </w:rPr>
        <w:t>湍流模型</w:t>
      </w:r>
      <w:bookmarkEnd w:id="47"/>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8" w:name="_Toc452108767"/>
      <w:bookmarkStart w:id="49" w:name="_Toc451698939"/>
      <w:bookmarkStart w:id="50" w:name="_Toc4197"/>
      <w:r>
        <w:rPr>
          <w:rFonts w:hint="eastAsia"/>
        </w:rPr>
        <w:t>求解计算</w:t>
      </w:r>
      <w:bookmarkEnd w:id="48"/>
      <w:bookmarkEnd w:id="49"/>
      <w:bookmarkEnd w:id="50"/>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1"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1"/>
      <w:r>
        <w:rPr>
          <w:rFonts w:hint="eastAsia" w:ascii="黑体" w:hAnsi="黑体" w:eastAsia="黑体"/>
          <w:sz w:val="20"/>
          <w:szCs w:val="20"/>
        </w:rPr>
        <w:t xml:space="preserve"> </w:t>
      </w:r>
      <w:bookmarkStart w:id="52" w:name="_Ref225175618"/>
      <w:r>
        <w:rPr>
          <w:rFonts w:hint="eastAsia" w:ascii="黑体" w:hAnsi="黑体" w:eastAsia="黑体"/>
          <w:sz w:val="20"/>
          <w:szCs w:val="20"/>
        </w:rPr>
        <w:t>计算流体力学的控制方程</w:t>
      </w:r>
      <w:bookmarkEnd w:id="52"/>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3" w:name="_Toc23282"/>
      <w:bookmarkStart w:id="54" w:name="_Toc509844747"/>
      <w:r>
        <w:rPr>
          <w:rFonts w:hint="eastAsia"/>
        </w:rPr>
        <w:t>风速放大系数计算</w:t>
      </w:r>
      <w:bookmarkEnd w:id="53"/>
      <w:bookmarkEnd w:id="5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5" w:name="地面粗糙度指数"/>
      <w:r>
        <w:rPr>
          <w:rFonts w:hint="eastAsia"/>
          <w:lang w:val="en-US"/>
        </w:rPr>
        <w:t>0.30</w:t>
      </w:r>
      <w:bookmarkEnd w:id="5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6" w:name="_Toc452108768"/>
      <w:bookmarkStart w:id="57" w:name="_Toc6673"/>
      <w:r>
        <w:rPr>
          <w:rFonts w:hint="eastAsia"/>
        </w:rPr>
        <w:t>结果</w:t>
      </w:r>
      <w:r>
        <w:t>分析</w:t>
      </w:r>
      <w:bookmarkEnd w:id="56"/>
      <w:bookmarkEnd w:id="57"/>
    </w:p>
    <w:p>
      <w:pPr>
        <w:pStyle w:val="4"/>
        <w:rPr>
          <w:szCs w:val="21"/>
        </w:rPr>
      </w:pPr>
      <w:bookmarkStart w:id="58" w:name="_Toc13853"/>
      <w:r>
        <w:rPr>
          <w:rFonts w:hint="eastAsia"/>
          <w:szCs w:val="21"/>
        </w:rPr>
        <w:t>工况</w:t>
      </w:r>
      <w:r>
        <w:rPr>
          <w:szCs w:val="21"/>
        </w:rPr>
        <w:t>表</w:t>
      </w:r>
      <w:bookmarkEnd w:id="58"/>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59"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1.90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45.0</w:t>
            </w:r>
          </w:p>
        </w:tc>
      </w:tr>
      <w:bookmarkEnd w:id="59"/>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0" w:name="_Toc20844"/>
      <w:r>
        <w:rPr>
          <w:rFonts w:hint="eastAsia"/>
        </w:rPr>
        <w:t>冬季工况</w:t>
      </w:r>
      <w:bookmarkEnd w:id="60"/>
    </w:p>
    <w:p>
      <w:pPr>
        <w:ind w:firstLine="420" w:firstLineChars="200"/>
        <w:jc w:val="both"/>
      </w:pPr>
      <w:r>
        <w:rPr>
          <w:rFonts w:hint="eastAsia"/>
          <w:lang w:val="en-US"/>
        </w:rPr>
        <w:t>本项目冬季工况的入口边界风速为</w:t>
      </w:r>
      <w:r>
        <w:rPr>
          <w:rFonts w:hint="eastAsia" w:ascii="Calibri" w:hAnsi="Calibri"/>
          <w:szCs w:val="21"/>
        </w:rPr>
        <w:t>1.90</w:t>
      </w:r>
      <w:r>
        <w:rPr>
          <w:rFonts w:ascii="Calibri" w:hAnsi="Calibri"/>
          <w:szCs w:val="21"/>
        </w:rPr>
        <w:t>m/s</w:t>
      </w:r>
      <w:r>
        <w:rPr>
          <w:rFonts w:hint="eastAsia" w:ascii="Calibri" w:hAnsi="Calibri"/>
          <w:szCs w:val="21"/>
        </w:rPr>
        <w:t>，风向为</w:t>
      </w:r>
      <w:r>
        <w:rPr>
          <w:szCs w:val="21"/>
        </w:rPr>
        <w:t>NE</w:t>
      </w:r>
      <w:r>
        <w:rPr>
          <w:rFonts w:hint="eastAsia"/>
          <w:szCs w:val="21"/>
        </w:rPr>
        <w:t>。</w:t>
      </w:r>
    </w:p>
    <w:p>
      <w:pPr>
        <w:pStyle w:val="5"/>
      </w:pPr>
      <w:bookmarkStart w:id="61" w:name="_Toc21656"/>
      <w:r>
        <w:rPr>
          <w:rFonts w:hint="eastAsia"/>
        </w:rPr>
        <w:t>风速达标分析</w:t>
      </w:r>
      <w:bookmarkEnd w:id="61"/>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2" w:name="_Toc8567"/>
      <w:r>
        <w:rPr>
          <w:rFonts w:hint="eastAsia"/>
        </w:rPr>
        <w:t>风速放大系数达标分析</w:t>
      </w:r>
      <w:bookmarkEnd w:id="62"/>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rFonts w:hint="eastAsia"/>
          <w:lang w:val="en-US" w:eastAsia="zh-CN"/>
        </w:rPr>
        <w:t>采用</w:t>
      </w:r>
      <w:r>
        <w:rPr>
          <w:lang w:val="en-US"/>
        </w:rPr>
        <w:t>建筑布局。</w:t>
      </w:r>
    </w:p>
    <w:p>
      <w:pPr>
        <w:pStyle w:val="13"/>
        <w:jc w:val="center"/>
        <w:rPr>
          <w:lang w:val="en-US"/>
        </w:rPr>
      </w:pPr>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3" w:name="_Toc509844753"/>
      <w:bookmarkStart w:id="64" w:name="_Toc30369"/>
      <w:r>
        <w:rPr>
          <w:rFonts w:hint="eastAsia" w:cs="宋体"/>
          <w:lang w:val="en-GB"/>
        </w:rPr>
        <w:t>人行区域</w:t>
      </w:r>
      <w:r>
        <w:rPr>
          <w:rFonts w:hint="eastAsia"/>
        </w:rPr>
        <w:t>冬季工况风速/风速放大系数达标判定</w:t>
      </w:r>
      <w:bookmarkEnd w:id="63"/>
      <w:bookmarkEnd w:id="64"/>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bookmarkEnd w:id="14"/>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65" w:name="冬季工况风速达标判断"/>
            <w:r>
              <w:rPr>
                <w:rFonts w:hint="eastAsia" w:ascii="宋体" w:hAnsi="宋体" w:cs="宋体"/>
                <w:color w:val="000000"/>
                <w:sz w:val="22"/>
                <w:szCs w:val="22"/>
                <w:lang w:val="en-US"/>
              </w:rPr>
              <w:t>是</w:t>
            </w:r>
            <w:bookmarkEnd w:id="65"/>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bookmarkEnd w:id="17"/>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themeColor="text1"/>
                <w:sz w:val="22"/>
                <w:szCs w:val="22"/>
                <w:lang w:val="en-US"/>
              </w:rPr>
              <w:t>否</w:t>
            </w:r>
          </w:p>
          <w:bookmarkEnd w:id="19"/>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themeColor="text1"/>
                <w:sz w:val="22"/>
                <w:szCs w:val="22"/>
                <w:lang w:val="en-US"/>
              </w:rPr>
              <w:t>是</w:t>
            </w:r>
          </w:p>
        </w:tc>
      </w:tr>
      <w:bookmarkEnd w:id="20"/>
      <w:bookmarkEnd w:id="22"/>
      <w:bookmarkEnd w:id="23"/>
      <w:bookmarkEnd w:id="24"/>
    </w:tbl>
    <w:p>
      <w:pPr>
        <w:pStyle w:val="5"/>
      </w:pPr>
      <w:bookmarkStart w:id="66" w:name="_Toc18176"/>
      <w:r>
        <w:rPr>
          <w:rFonts w:hint="eastAsia"/>
        </w:rPr>
        <w:t>建筑迎风面和背风面风压分析</w:t>
      </w:r>
      <w:bookmarkEnd w:id="25"/>
      <w:bookmarkEnd w:id="66"/>
    </w:p>
    <w:p>
      <w:pPr>
        <w:pStyle w:val="3"/>
        <w:ind w:firstLine="420"/>
        <w:rPr>
          <w:lang w:val="en-US"/>
        </w:rPr>
      </w:pPr>
      <w:r>
        <w:rPr>
          <w:rFonts w:hint="eastAsia"/>
          <w:lang w:val="en-US"/>
        </w:rPr>
        <w:t>标准中规定“冬季工况下除迎风第一排建筑外，建筑迎风面与背风面表面风压差不超过5Pa”，避免由于建筑迎风面与背</w:t>
      </w:r>
      <w:bookmarkEnd w:id="28"/>
      <w:r>
        <w:rPr>
          <w:rFonts w:hint="eastAsia"/>
          <w:lang w:val="en-US"/>
        </w:rPr>
        <w:t>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71">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29"/>
    <w:p>
      <w:pPr>
        <w:pStyle w:val="13"/>
        <w:jc w:val="center"/>
        <w:rPr>
          <w:lang w:val="en-US"/>
        </w:rPr>
      </w:pPr>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bookmarkEnd w:id="30"/>
    <w:p>
      <w:pPr>
        <w:pStyle w:val="13"/>
        <w:jc w:val="center"/>
      </w:pPr>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3"/>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-DT单体(1.9)</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4.16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5.83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-2.84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19层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-2.69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-2.84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-2.91</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-1.79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-3.12</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-3.34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-1.91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37层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-3.48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-3.63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39层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-3.74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40层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-3.90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-2.92</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-4.05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-3.09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42层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-4.19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-3.23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-2.38</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-1.83</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-0.55</w:t>
            </w:r>
          </w:p>
        </w:tc>
      </w:tr>
    </w:tbl>
    <w:p>
      <w:r>
        <w:t>标准要求：迎背风面窗平均风压差（绝对值）≤5Pa。结论：该楼</w:t>
      </w:r>
      <w:r>
        <w:rPr>
          <w:b/>
          <w:color w:val="0000FF"/>
        </w:rPr>
        <w:t>达标</w:t>
      </w:r>
      <w:r>
        <w:t>。</w:t>
      </w:r>
    </w:p>
    <w:bookmarkEnd w:id="33"/>
    <w:bookmarkEnd w:id="35"/>
    <w:p>
      <w:pPr>
        <w:jc w:val="center"/>
        <w:rPr>
          <w:rFonts w:ascii="Cambria" w:hAnsi="Cambria" w:eastAsia="黑体"/>
          <w:sz w:val="20"/>
        </w:rPr>
      </w:pPr>
    </w:p>
    <w:bookmarkEnd w:id="36"/>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DT单体(1.9)</w:t>
            </w:r>
          </w:p>
        </w:tc>
        <w:tc>
          <w:tcPr>
            <w:tcW w:w="1276" w:type="dxa"/>
            <w:shd w:val="clear" w:color="auto" w:fill="auto"/>
            <w:vAlign w:val="center"/>
          </w:tcPr>
          <w:p>
            <w:pPr>
              <w:jc w:val="center"/>
              <w:rPr>
                <w:lang w:val="en-US"/>
              </w:rPr>
            </w:pPr>
            <w:r>
              <w:rPr>
                <w:lang w:val="en-US"/>
              </w:rPr>
              <w:t>-2.38</w:t>
            </w:r>
          </w:p>
        </w:tc>
        <w:tc>
          <w:tcPr>
            <w:tcW w:w="1276" w:type="dxa"/>
            <w:shd w:val="clear" w:color="auto" w:fill="auto"/>
            <w:vAlign w:val="center"/>
          </w:tcPr>
          <w:p>
            <w:pPr>
              <w:jc w:val="center"/>
              <w:rPr>
                <w:lang w:val="en-US"/>
              </w:rPr>
            </w:pPr>
            <w:r>
              <w:rPr>
                <w:lang w:val="en-US"/>
              </w:rPr>
              <w:t>-1.83</w:t>
            </w:r>
          </w:p>
        </w:tc>
        <w:tc>
          <w:tcPr>
            <w:tcW w:w="1701" w:type="dxa"/>
            <w:shd w:val="clear" w:color="auto" w:fill="auto"/>
            <w:vAlign w:val="center"/>
          </w:tcPr>
          <w:p>
            <w:pPr>
              <w:jc w:val="center"/>
              <w:rPr>
                <w:lang w:val="en-US"/>
              </w:rPr>
            </w:pPr>
            <w:r>
              <w:rPr>
                <w:lang w:val="en-US"/>
              </w:rPr>
              <w:t>-0.55</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未命名(11124)</w:t>
            </w:r>
          </w:p>
        </w:tc>
        <w:tc>
          <w:tcPr>
            <w:tcW w:w="1276" w:type="dxa"/>
            <w:shd w:val="clear" w:color="auto" w:fill="auto"/>
            <w:vAlign w:val="center"/>
          </w:tcPr>
          <w:p>
            <w:pPr>
              <w:jc w:val="center"/>
              <w:rPr>
                <w:lang w:val="en-US"/>
              </w:rPr>
            </w:pPr>
            <w:r>
              <w:rPr>
                <w:lang w:val="en-US"/>
              </w:rPr>
              <w:t>0.64</w:t>
            </w:r>
          </w:p>
        </w:tc>
        <w:tc>
          <w:tcPr>
            <w:tcW w:w="1276" w:type="dxa"/>
            <w:shd w:val="clear" w:color="auto" w:fill="auto"/>
            <w:vAlign w:val="center"/>
          </w:tcPr>
          <w:p>
            <w:pPr>
              <w:jc w:val="center"/>
              <w:rPr>
                <w:lang w:val="en-US"/>
              </w:rPr>
            </w:pPr>
            <w:r>
              <w:rPr>
                <w:lang w:val="en-US"/>
              </w:rPr>
              <w:t>-4.33</w:t>
            </w:r>
          </w:p>
        </w:tc>
        <w:tc>
          <w:tcPr>
            <w:tcW w:w="1701" w:type="dxa"/>
            <w:shd w:val="clear" w:color="auto" w:fill="auto"/>
            <w:vAlign w:val="center"/>
          </w:tcPr>
          <w:p>
            <w:pPr>
              <w:jc w:val="center"/>
              <w:rPr>
                <w:lang w:val="en-US"/>
              </w:rPr>
            </w:pPr>
            <w:r>
              <w:rPr>
                <w:lang w:val="en-US"/>
              </w:rPr>
              <w:t>4.97</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未命名(1112A)</w:t>
            </w:r>
          </w:p>
        </w:tc>
        <w:tc>
          <w:tcPr>
            <w:tcW w:w="1276" w:type="dxa"/>
            <w:shd w:val="clear" w:color="auto" w:fill="auto"/>
            <w:vAlign w:val="center"/>
          </w:tcPr>
          <w:p>
            <w:pPr>
              <w:jc w:val="center"/>
              <w:rPr>
                <w:lang w:val="en-US"/>
              </w:rPr>
            </w:pPr>
            <w:r>
              <w:rPr>
                <w:lang w:val="en-US"/>
              </w:rPr>
              <w:t>2.09</w:t>
            </w:r>
          </w:p>
        </w:tc>
        <w:tc>
          <w:tcPr>
            <w:tcW w:w="1276" w:type="dxa"/>
            <w:shd w:val="clear" w:color="auto" w:fill="auto"/>
            <w:vAlign w:val="center"/>
          </w:tcPr>
          <w:p>
            <w:pPr>
              <w:jc w:val="center"/>
              <w:rPr>
                <w:lang w:val="en-US"/>
              </w:rPr>
            </w:pPr>
            <w:r>
              <w:rPr>
                <w:lang w:val="en-US"/>
              </w:rPr>
              <w:t>-2.58</w:t>
            </w:r>
          </w:p>
        </w:tc>
        <w:tc>
          <w:tcPr>
            <w:tcW w:w="1701" w:type="dxa"/>
            <w:shd w:val="clear" w:color="auto" w:fill="auto"/>
            <w:vAlign w:val="center"/>
          </w:tcPr>
          <w:p>
            <w:pPr>
              <w:jc w:val="center"/>
              <w:rPr>
                <w:lang w:val="en-US"/>
              </w:rPr>
            </w:pPr>
            <w:r>
              <w:rPr>
                <w:lang w:val="en-US"/>
              </w:rPr>
              <w:t>4.68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未命名(1112E)</w:t>
            </w:r>
          </w:p>
        </w:tc>
        <w:tc>
          <w:tcPr>
            <w:tcW w:w="1276" w:type="dxa"/>
            <w:shd w:val="clear" w:color="auto" w:fill="auto"/>
            <w:vAlign w:val="center"/>
          </w:tcPr>
          <w:p>
            <w:pPr>
              <w:jc w:val="center"/>
              <w:rPr>
                <w:lang w:val="en-US"/>
              </w:rPr>
            </w:pPr>
            <w:r>
              <w:rPr>
                <w:lang w:val="en-US"/>
              </w:rPr>
              <w:t>1.80</w:t>
            </w:r>
          </w:p>
        </w:tc>
        <w:tc>
          <w:tcPr>
            <w:tcW w:w="1276" w:type="dxa"/>
            <w:shd w:val="clear" w:color="auto" w:fill="auto"/>
            <w:vAlign w:val="center"/>
          </w:tcPr>
          <w:p>
            <w:pPr>
              <w:jc w:val="center"/>
              <w:rPr>
                <w:lang w:val="en-US"/>
              </w:rPr>
            </w:pPr>
            <w:r>
              <w:rPr>
                <w:lang w:val="en-US"/>
              </w:rPr>
              <w:t>-2.68</w:t>
            </w:r>
          </w:p>
        </w:tc>
        <w:tc>
          <w:tcPr>
            <w:tcW w:w="1701" w:type="dxa"/>
            <w:shd w:val="clear" w:color="auto" w:fill="auto"/>
            <w:vAlign w:val="center"/>
          </w:tcPr>
          <w:p>
            <w:pPr>
              <w:jc w:val="center"/>
              <w:rPr>
                <w:lang w:val="en-US"/>
              </w:rPr>
            </w:pPr>
            <w:r>
              <w:rPr>
                <w:lang w:val="en-US"/>
              </w:rPr>
              <w:t>4.48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未命名(11133)</w:t>
            </w:r>
          </w:p>
        </w:tc>
        <w:tc>
          <w:tcPr>
            <w:tcW w:w="1276" w:type="dxa"/>
            <w:shd w:val="clear" w:color="auto" w:fill="auto"/>
            <w:vAlign w:val="center"/>
          </w:tcPr>
          <w:p>
            <w:pPr>
              <w:jc w:val="center"/>
              <w:rPr>
                <w:lang w:val="en-US"/>
              </w:rPr>
            </w:pPr>
            <w:r>
              <w:rPr>
                <w:lang w:val="en-US"/>
              </w:rPr>
              <w:t>4.62</w:t>
            </w:r>
          </w:p>
        </w:tc>
        <w:tc>
          <w:tcPr>
            <w:tcW w:w="1276" w:type="dxa"/>
            <w:shd w:val="clear" w:color="auto" w:fill="auto"/>
            <w:vAlign w:val="center"/>
          </w:tcPr>
          <w:p>
            <w:pPr>
              <w:jc w:val="center"/>
              <w:rPr>
                <w:lang w:val="en-US"/>
              </w:rPr>
            </w:pPr>
            <w:r>
              <w:rPr>
                <w:lang w:val="en-US"/>
              </w:rPr>
              <w:t>-1.95</w:t>
            </w:r>
          </w:p>
        </w:tc>
        <w:tc>
          <w:tcPr>
            <w:tcW w:w="1701" w:type="dxa"/>
            <w:shd w:val="clear" w:color="auto" w:fill="auto"/>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5.63</w:t>
            </w:r>
          </w:p>
        </w:tc>
        <w:tc>
          <w:tcPr>
            <w:tcW w:w="973" w:type="dxa"/>
            <w:shd w:val="clear" w:color="auto" w:fill="auto"/>
            <w:vAlign w:val="center"/>
          </w:tcPr>
          <w:p>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未命名(11EB7)</w:t>
            </w:r>
          </w:p>
        </w:tc>
        <w:tc>
          <w:tcPr>
            <w:tcW w:w="1276" w:type="dxa"/>
            <w:shd w:val="clear" w:color="auto" w:fill="auto"/>
            <w:vAlign w:val="center"/>
          </w:tcPr>
          <w:p>
            <w:pPr>
              <w:jc w:val="center"/>
              <w:rPr>
                <w:lang w:val="en-US"/>
              </w:rPr>
            </w:pPr>
            <w:r>
              <w:rPr>
                <w:lang w:val="en-US"/>
              </w:rPr>
              <w:t>2.69</w:t>
            </w:r>
          </w:p>
        </w:tc>
        <w:tc>
          <w:tcPr>
            <w:tcW w:w="1276" w:type="dxa"/>
            <w:shd w:val="clear" w:color="auto" w:fill="auto"/>
            <w:vAlign w:val="center"/>
          </w:tcPr>
          <w:p>
            <w:pPr>
              <w:jc w:val="center"/>
              <w:rPr>
                <w:lang w:val="en-US"/>
              </w:rPr>
            </w:pPr>
            <w:r>
              <w:rPr>
                <w:lang w:val="en-US"/>
              </w:rPr>
              <w:t>-0.81</w:t>
            </w:r>
          </w:p>
        </w:tc>
        <w:tc>
          <w:tcPr>
            <w:tcW w:w="1701" w:type="dxa"/>
            <w:shd w:val="clear" w:color="auto" w:fill="auto"/>
            <w:vAlign w:val="center"/>
          </w:tcPr>
          <w:p>
            <w:pPr>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t>3.49</w:t>
            </w:r>
          </w:p>
        </w:tc>
        <w:tc>
          <w:tcPr>
            <w:tcW w:w="973" w:type="dxa"/>
            <w:shd w:val="clear" w:color="auto" w:fill="auto"/>
            <w:vAlign w:val="center"/>
          </w:tcPr>
          <w:p>
            <w:pPr>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未命名(11EBB)</w:t>
            </w:r>
          </w:p>
        </w:tc>
        <w:tc>
          <w:tcPr>
            <w:tcW w:w="1276" w:type="dxa"/>
            <w:shd w:val="clear" w:color="auto" w:fill="auto"/>
            <w:vAlign w:val="center"/>
          </w:tcPr>
          <w:p>
            <w:pPr>
              <w:jc w:val="center"/>
              <w:rPr>
                <w:lang w:val="en-US"/>
              </w:rPr>
            </w:pPr>
            <w:r>
              <w:rPr>
                <w:lang w:val="en-US"/>
              </w:rPr>
              <w:t>0.72</w:t>
            </w:r>
          </w:p>
        </w:tc>
        <w:tc>
          <w:tcPr>
            <w:tcW w:w="1276" w:type="dxa"/>
            <w:shd w:val="clear" w:color="auto" w:fill="auto"/>
            <w:vAlign w:val="center"/>
          </w:tcPr>
          <w:p>
            <w:pPr>
              <w:jc w:val="center"/>
              <w:rPr>
                <w:lang w:val="en-US"/>
              </w:rPr>
            </w:pPr>
            <w:r>
              <w:rPr>
                <w:lang w:val="en-US"/>
              </w:rPr>
              <w:t>-2.53</w:t>
            </w:r>
          </w:p>
        </w:tc>
        <w:tc>
          <w:tcPr>
            <w:tcW w:w="1701" w:type="dxa"/>
            <w:shd w:val="clear" w:color="auto" w:fill="auto"/>
            <w:vAlign w:val="center"/>
          </w:tcPr>
          <w:p>
            <w:pPr>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t>3.26</w:t>
            </w:r>
          </w:p>
        </w:tc>
        <w:tc>
          <w:tcPr>
            <w:tcW w:w="973" w:type="dxa"/>
            <w:shd w:val="clear" w:color="auto" w:fill="auto"/>
            <w:vAlign w:val="center"/>
          </w:tcPr>
          <w:p>
            <w:pPr>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未命名(11EBF)</w:t>
            </w:r>
          </w:p>
        </w:tc>
        <w:tc>
          <w:tcPr>
            <w:tcW w:w="1276" w:type="dxa"/>
            <w:shd w:val="clear" w:color="auto" w:fill="auto"/>
            <w:vAlign w:val="center"/>
          </w:tcPr>
          <w:p>
            <w:pPr>
              <w:jc w:val="center"/>
              <w:rPr>
                <w:lang w:val="en-US"/>
              </w:rPr>
            </w:pPr>
            <w:r>
              <w:rPr>
                <w:lang w:val="en-US"/>
              </w:rPr>
              <w:t>0.57</w:t>
            </w:r>
          </w:p>
        </w:tc>
        <w:tc>
          <w:tcPr>
            <w:tcW w:w="1276" w:type="dxa"/>
            <w:shd w:val="clear" w:color="auto" w:fill="auto"/>
            <w:vAlign w:val="center"/>
          </w:tcPr>
          <w:p>
            <w:pPr>
              <w:jc w:val="center"/>
              <w:rPr>
                <w:lang w:val="en-US"/>
              </w:rPr>
            </w:pPr>
            <w:r>
              <w:rPr>
                <w:lang w:val="en-US"/>
              </w:rPr>
              <w:t>-0.22</w:t>
            </w:r>
          </w:p>
        </w:tc>
        <w:tc>
          <w:tcPr>
            <w:tcW w:w="1701" w:type="dxa"/>
            <w:shd w:val="clear" w:color="auto" w:fill="auto"/>
            <w:vAlign w:val="center"/>
          </w:tcPr>
          <w:p>
            <w:pPr>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t>0.78</w:t>
            </w:r>
          </w:p>
        </w:tc>
        <w:tc>
          <w:tcPr>
            <w:tcW w:w="973" w:type="dxa"/>
            <w:shd w:val="clear" w:color="auto" w:fill="auto"/>
            <w:vAlign w:val="center"/>
          </w:tcPr>
          <w:p>
            <w:pPr>
              <w:jc w:val="center"/>
              <w:rPr>
                <w:color w:val="000000" w:themeColor="text1"/>
                <w:lang w:val="en-US"/>
                <w14:textFill>
                  <w14:solidFill>
                    <w14:schemeClr w14:val="tx1"/>
                  </w14:solidFill>
                </w14:textFill>
              </w:rPr>
            </w:pPr>
            <w:r>
              <w:rPr>
                <w:color w:val="000000" w:themeColor="text1"/>
                <w:lang w:val="en-US"/>
                <w14:textFill>
                  <w14:solidFill>
                    <w14:schemeClr w14:val="tx1"/>
                  </w14:solidFill>
                </w14:textFill>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未命名(11EC3)</w:t>
            </w:r>
          </w:p>
        </w:tc>
        <w:tc>
          <w:tcPr>
            <w:tcW w:w="1276" w:type="dxa"/>
            <w:shd w:val="clear" w:color="auto" w:fill="auto"/>
            <w:vAlign w:val="center"/>
          </w:tcPr>
          <w:p>
            <w:pPr>
              <w:jc w:val="center"/>
              <w:rPr>
                <w:lang w:val="en-US"/>
              </w:rPr>
            </w:pPr>
            <w:r>
              <w:rPr>
                <w:lang w:val="en-US"/>
              </w:rPr>
              <w:t>7.28</w:t>
            </w:r>
          </w:p>
        </w:tc>
        <w:tc>
          <w:tcPr>
            <w:tcW w:w="1276" w:type="dxa"/>
            <w:shd w:val="clear" w:color="auto" w:fill="auto"/>
            <w:vAlign w:val="center"/>
          </w:tcPr>
          <w:p>
            <w:pPr>
              <w:jc w:val="center"/>
              <w:rPr>
                <w:lang w:val="en-US"/>
              </w:rPr>
            </w:pPr>
            <w:r>
              <w:rPr>
                <w:lang w:val="en-US"/>
              </w:rPr>
              <w:t>-0.11</w:t>
            </w:r>
          </w:p>
        </w:tc>
        <w:tc>
          <w:tcPr>
            <w:tcW w:w="1701" w:type="dxa"/>
            <w:shd w:val="clear" w:color="auto" w:fill="auto"/>
            <w:vAlign w:val="center"/>
          </w:tcPr>
          <w:p>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4.75</w:t>
            </w:r>
          </w:p>
        </w:tc>
        <w:tc>
          <w:tcPr>
            <w:tcW w:w="973" w:type="dxa"/>
            <w:shd w:val="clear" w:color="auto" w:fill="auto"/>
            <w:vAlign w:val="center"/>
          </w:tcPr>
          <w:p>
            <w:pPr>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未命名(11ECC)</w:t>
            </w:r>
          </w:p>
        </w:tc>
        <w:tc>
          <w:tcPr>
            <w:tcW w:w="1276" w:type="dxa"/>
            <w:shd w:val="clear" w:color="auto" w:fill="auto"/>
            <w:vAlign w:val="center"/>
          </w:tcPr>
          <w:p>
            <w:pPr>
              <w:jc w:val="center"/>
              <w:rPr>
                <w:lang w:val="en-US"/>
              </w:rPr>
            </w:pPr>
            <w:r>
              <w:rPr>
                <w:lang w:val="en-US"/>
              </w:rPr>
              <w:t>1.97</w:t>
            </w:r>
          </w:p>
        </w:tc>
        <w:tc>
          <w:tcPr>
            <w:tcW w:w="1276" w:type="dxa"/>
            <w:shd w:val="clear" w:color="auto" w:fill="auto"/>
            <w:vAlign w:val="center"/>
          </w:tcPr>
          <w:p>
            <w:pPr>
              <w:jc w:val="center"/>
              <w:rPr>
                <w:lang w:val="en-US"/>
              </w:rPr>
            </w:pPr>
            <w:r>
              <w:rPr>
                <w:lang w:val="en-US"/>
              </w:rPr>
              <w:t>-1.33</w:t>
            </w:r>
          </w:p>
        </w:tc>
        <w:tc>
          <w:tcPr>
            <w:tcW w:w="1701" w:type="dxa"/>
            <w:shd w:val="clear" w:color="auto" w:fill="auto"/>
            <w:vAlign w:val="center"/>
          </w:tcPr>
          <w:p>
            <w:pPr>
              <w:jc w:val="center"/>
              <w:rPr>
                <w:lang w:val="en-US"/>
              </w:rPr>
            </w:pPr>
            <w:r>
              <w:rPr>
                <w:lang w:val="en-US"/>
              </w:rPr>
              <w:t>3.30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未命名(11ECF)</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未命名(11ED2)</w:t>
            </w:r>
          </w:p>
        </w:tc>
        <w:tc>
          <w:tcPr>
            <w:tcW w:w="1276" w:type="dxa"/>
            <w:shd w:val="clear" w:color="auto" w:fill="auto"/>
            <w:vAlign w:val="center"/>
          </w:tcPr>
          <w:p>
            <w:pPr>
              <w:jc w:val="center"/>
              <w:rPr>
                <w:lang w:val="en-US"/>
              </w:rPr>
            </w:pPr>
            <w:r>
              <w:rPr>
                <w:lang w:val="en-US"/>
              </w:rPr>
              <w:t>0.00</w:t>
            </w:r>
          </w:p>
        </w:tc>
        <w:tc>
          <w:tcPr>
            <w:tcW w:w="1276" w:type="dxa"/>
            <w:shd w:val="clear" w:color="auto" w:fill="auto"/>
            <w:vAlign w:val="center"/>
          </w:tcPr>
          <w:p>
            <w:pPr>
              <w:jc w:val="center"/>
              <w:rPr>
                <w:lang w:val="en-US"/>
              </w:rPr>
            </w:pPr>
            <w:r>
              <w:rPr>
                <w:lang w:val="en-US"/>
              </w:rPr>
              <w:t>0.00</w:t>
            </w:r>
          </w:p>
        </w:tc>
        <w:tc>
          <w:tcPr>
            <w:tcW w:w="1701" w:type="dxa"/>
            <w:shd w:val="clear" w:color="auto" w:fill="auto"/>
            <w:vAlign w:val="center"/>
          </w:tcPr>
          <w:p>
            <w:pPr>
              <w:jc w:val="center"/>
              <w:rPr>
                <w:lang w:val="en-US"/>
              </w:rPr>
            </w:pPr>
            <w:r>
              <w:rPr>
                <w:lang w:val="en-US"/>
              </w:rPr>
              <w:t>0.00</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未命名(11EE7)</w:t>
            </w:r>
          </w:p>
        </w:tc>
        <w:tc>
          <w:tcPr>
            <w:tcW w:w="1276" w:type="dxa"/>
            <w:shd w:val="clear" w:color="auto" w:fill="auto"/>
            <w:vAlign w:val="center"/>
          </w:tcPr>
          <w:p>
            <w:pPr>
              <w:jc w:val="center"/>
              <w:rPr>
                <w:lang w:val="en-US"/>
              </w:rPr>
            </w:pPr>
            <w:r>
              <w:rPr>
                <w:lang w:val="en-US"/>
              </w:rPr>
              <w:t>3.16</w:t>
            </w:r>
          </w:p>
        </w:tc>
        <w:tc>
          <w:tcPr>
            <w:tcW w:w="1276" w:type="dxa"/>
            <w:shd w:val="clear" w:color="auto" w:fill="auto"/>
            <w:vAlign w:val="center"/>
          </w:tcPr>
          <w:p>
            <w:pPr>
              <w:jc w:val="center"/>
              <w:rPr>
                <w:lang w:val="en-US"/>
              </w:rPr>
            </w:pPr>
            <w:r>
              <w:rPr>
                <w:lang w:val="en-US"/>
              </w:rPr>
              <w:t>-1.56</w:t>
            </w:r>
          </w:p>
        </w:tc>
        <w:tc>
          <w:tcPr>
            <w:tcW w:w="1701" w:type="dxa"/>
            <w:shd w:val="clear" w:color="auto" w:fill="auto"/>
            <w:vAlign w:val="center"/>
          </w:tcPr>
          <w:p>
            <w:pPr>
              <w:jc w:val="center"/>
              <w:rPr>
                <w:lang w:val="en-US"/>
              </w:rPr>
            </w:pPr>
            <w:r>
              <w:rPr>
                <w:lang w:val="en-US"/>
              </w:rPr>
              <w:t>4.72</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未命名(14A1F)</w:t>
            </w:r>
          </w:p>
        </w:tc>
        <w:tc>
          <w:tcPr>
            <w:tcW w:w="1276" w:type="dxa"/>
            <w:shd w:val="clear" w:color="auto" w:fill="auto"/>
            <w:vAlign w:val="center"/>
          </w:tcPr>
          <w:p>
            <w:pPr>
              <w:jc w:val="center"/>
              <w:rPr>
                <w:lang w:val="en-US"/>
              </w:rPr>
            </w:pPr>
            <w:r>
              <w:rPr>
                <w:lang w:val="en-US"/>
              </w:rPr>
              <w:t>6.03</w:t>
            </w:r>
          </w:p>
        </w:tc>
        <w:tc>
          <w:tcPr>
            <w:tcW w:w="1276" w:type="dxa"/>
            <w:shd w:val="clear" w:color="auto" w:fill="auto"/>
            <w:vAlign w:val="center"/>
          </w:tcPr>
          <w:p>
            <w:pPr>
              <w:jc w:val="center"/>
              <w:rPr>
                <w:lang w:val="en-US"/>
              </w:rPr>
            </w:pPr>
            <w:r>
              <w:rPr>
                <w:lang w:val="en-US"/>
              </w:rPr>
              <w:t>-1.55</w:t>
            </w:r>
          </w:p>
        </w:tc>
        <w:tc>
          <w:tcPr>
            <w:tcW w:w="1701" w:type="dxa"/>
            <w:shd w:val="clear" w:color="auto" w:fill="auto"/>
            <w:vAlign w:val="center"/>
          </w:tcPr>
          <w:p>
            <w:pPr>
              <w:jc w:val="center"/>
              <w:rPr>
                <w:rFonts w:hint="default" w:eastAsia="宋体"/>
                <w:lang w:val="en-US" w:eastAsia="zh-CN"/>
              </w:rPr>
            </w:pPr>
            <w:r>
              <w:rPr>
                <w:rFonts w:hint="eastAsia"/>
                <w:color w:val="000000" w:themeColor="text1"/>
                <w:lang w:val="en-US" w:eastAsia="zh-CN"/>
                <w14:textFill>
                  <w14:solidFill>
                    <w14:schemeClr w14:val="tx1"/>
                  </w14:solidFill>
                </w14:textFill>
              </w:rPr>
              <w:t>4.98</w:t>
            </w:r>
          </w:p>
        </w:tc>
        <w:tc>
          <w:tcPr>
            <w:tcW w:w="973" w:type="dxa"/>
            <w:shd w:val="clear" w:color="auto" w:fill="auto"/>
            <w:vAlign w:val="center"/>
          </w:tcPr>
          <w:p>
            <w:pPr>
              <w:jc w:val="center"/>
              <w:rPr>
                <w:rFonts w:hint="eastAsia" w:eastAsia="宋体"/>
                <w:lang w:val="en-US" w:eastAsia="zh-CN"/>
              </w:rPr>
            </w:pPr>
            <w:r>
              <w:rPr>
                <w:rFonts w:hint="eastAsia"/>
                <w:color w:val="000000" w:themeColor="text1"/>
                <w:lang w:val="en-US" w:eastAsia="zh-CN"/>
                <w14:textFill>
                  <w14:solidFill>
                    <w14:schemeClr w14:val="tx1"/>
                  </w14:solidFill>
                </w14:textFill>
              </w:rPr>
              <w:t>是</w:t>
            </w:r>
          </w:p>
        </w:tc>
      </w:tr>
      <w:bookmarkEnd w:id="37"/>
      <w:bookmarkEnd w:id="38"/>
    </w:tbl>
    <w:p>
      <w:pPr>
        <w:rPr>
          <w:lang w:val="en-US"/>
        </w:rPr>
      </w:pPr>
      <w:r>
        <w:rPr>
          <w:lang w:val="en-US"/>
        </w:rPr>
        <w:t>结论：本项目中参评建筑未命名、未命名、未命名迎背风压差</w:t>
      </w:r>
      <w:r>
        <w:rPr>
          <w:rFonts w:hint="eastAsia"/>
          <w:b w:val="0"/>
          <w:bCs/>
          <w:color w:val="000000" w:themeColor="text1"/>
          <w:lang w:val="en-US" w:eastAsia="zh-CN"/>
          <w14:textFill>
            <w14:solidFill>
              <w14:schemeClr w14:val="tx1"/>
            </w14:solidFill>
          </w14:textFill>
        </w:rPr>
        <w:t>小于</w:t>
      </w:r>
      <w:r>
        <w:rPr>
          <w:lang w:val="en-US"/>
        </w:rPr>
        <w:t>5Pa，</w:t>
      </w:r>
      <w:r>
        <w:rPr>
          <w:b w:val="0"/>
          <w:bCs/>
          <w:color w:val="000000" w:themeColor="text1"/>
          <w:lang w:val="en-US"/>
          <w14:textFill>
            <w14:solidFill>
              <w14:schemeClr w14:val="tx1"/>
            </w14:solidFill>
          </w14:textFill>
        </w:rPr>
        <w:t>满足</w:t>
      </w:r>
      <w:r>
        <w:rPr>
          <w:lang w:val="en-US"/>
        </w:rPr>
        <w:t>“除迎风第一排建筑外，建筑迎风面与背风面表面风压差不超过5Pa”的要求，该条</w:t>
      </w:r>
      <w:r>
        <w:rPr>
          <w:b/>
          <w:color w:val="0000FF"/>
        </w:rPr>
        <w:t>达标</w:t>
      </w:r>
      <w:r>
        <w:rPr>
          <w:lang w:val="en-US"/>
        </w:rPr>
        <w:t>。</w:t>
      </w:r>
    </w:p>
    <w:p>
      <w:pPr>
        <w:rPr>
          <w:lang w:val="en-US"/>
        </w:rPr>
      </w:pPr>
      <w:bookmarkStart w:id="67" w:name="冬季工况"/>
      <w:bookmarkEnd w:id="67"/>
      <w:r>
        <w:rPr>
          <w:rFonts w:hint="eastAsia"/>
          <w:lang w:val="en-US"/>
        </w:rPr>
        <w:t xml:space="preserve"> </w:t>
      </w:r>
    </w:p>
    <w:p>
      <w:pPr>
        <w:rPr>
          <w:lang w:val="en-US"/>
        </w:rPr>
      </w:pPr>
      <w:bookmarkStart w:id="68" w:name="其他工况"/>
      <w:bookmarkEnd w:id="68"/>
      <w:r>
        <w:rPr>
          <w:rFonts w:hint="eastAsia"/>
          <w:lang w:val="en-US"/>
        </w:rPr>
        <w:t xml:space="preserve"> </w:t>
      </w:r>
    </w:p>
    <w:p>
      <w:pPr>
        <w:pStyle w:val="4"/>
      </w:pPr>
      <w:bookmarkStart w:id="69" w:name="_Toc509844764"/>
      <w:bookmarkStart w:id="70" w:name="_Toc7361"/>
      <w:r>
        <w:rPr>
          <w:rFonts w:hint="eastAsia"/>
        </w:rPr>
        <w:t>结论</w:t>
      </w:r>
      <w:bookmarkEnd w:id="69"/>
      <w:bookmarkEnd w:id="70"/>
    </w:p>
    <w:p>
      <w:pPr>
        <w:pStyle w:val="5"/>
      </w:pPr>
      <w:bookmarkStart w:id="71" w:name="_Toc25488"/>
      <w:r>
        <w:rPr>
          <w:rFonts w:hint="eastAsia"/>
        </w:rPr>
        <w:t>冬季工况达标判断</w:t>
      </w:r>
      <w:bookmarkEnd w:id="0"/>
      <w:bookmarkEnd w:id="1"/>
      <w:bookmarkEnd w:id="71"/>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2"/>
            <w:r>
              <w:rPr>
                <w:rFonts w:hint="eastAsia"/>
                <w:lang w:val="en-US"/>
              </w:rPr>
              <w:t>风速大于</w:t>
            </w:r>
            <w:r>
              <w:rPr>
                <w:lang w:val="en-US"/>
              </w:rPr>
              <w:t>5m/s</w:t>
            </w:r>
            <w:r>
              <w:rPr>
                <w:rFonts w:hint="eastAsia"/>
                <w:lang w:val="en-US"/>
              </w:rPr>
              <w:t>的区域，户外休息区、儿童娱乐区</w:t>
            </w:r>
            <w:r>
              <w:t>没有出现</w:t>
            </w:r>
            <w:bookmarkEnd w:id="3"/>
            <w:r>
              <w:rPr>
                <w:rFonts w:hint="eastAsia"/>
                <w:lang w:val="en-US"/>
              </w:rPr>
              <w:t>风速大于2m/s的区域</w:t>
            </w:r>
          </w:p>
          <w:bookmarkEnd w:id="4"/>
        </w:tc>
        <w:tc>
          <w:tcPr>
            <w:tcW w:w="1985" w:type="dxa"/>
            <w:vMerge w:val="restart"/>
            <w:tcBorders>
              <w:top w:val="single" w:color="auto" w:sz="4" w:space="0"/>
            </w:tcBorders>
            <w:shd w:val="clear" w:color="auto" w:fill="auto"/>
            <w:vAlign w:val="center"/>
          </w:tcPr>
          <w:p>
            <w:pPr>
              <w:jc w:val="center"/>
              <w:rPr>
                <w:b/>
                <w:lang w:val="en-US"/>
              </w:rPr>
            </w:pPr>
            <w:r>
              <w:rPr>
                <w:b/>
                <w:color w:val="0000FF"/>
              </w:rPr>
              <w:t>达标</w:t>
            </w:r>
          </w:p>
          <w:bookmarkEnd w:id="5"/>
        </w:tc>
        <w:tc>
          <w:tcPr>
            <w:tcW w:w="1416" w:type="dxa"/>
            <w:vMerge w:val="restart"/>
            <w:tcBorders>
              <w:top w:val="single" w:color="auto" w:sz="4" w:space="0"/>
            </w:tcBorders>
            <w:shd w:val="clear" w:color="auto" w:fill="auto"/>
            <w:vAlign w:val="center"/>
          </w:tcPr>
          <w:p>
            <w:pPr>
              <w:jc w:val="center"/>
              <w:rPr>
                <w:lang w:val="en-US"/>
              </w:rPr>
            </w:pPr>
            <w:r>
              <w:rPr>
                <w:rFonts w:hint="eastAsia"/>
                <w:lang w:val="en-US" w:eastAsia="zh-CN"/>
              </w:rPr>
              <w:t>2</w:t>
            </w:r>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出现</w:t>
            </w:r>
            <w:bookmarkEnd w:id="6"/>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出现</w:t>
            </w:r>
            <w:bookmarkEnd w:id="32"/>
            <w:r>
              <w:rPr>
                <w:rFonts w:hint="eastAsia"/>
                <w:lang w:val="en-US"/>
              </w:rPr>
              <w:t>建筑迎风面与背风面表面风压差大于5Pa的建筑</w:t>
            </w:r>
          </w:p>
          <w:bookmarkEnd w:id="8"/>
        </w:tc>
        <w:tc>
          <w:tcPr>
            <w:tcW w:w="1985" w:type="dxa"/>
            <w:shd w:val="clear" w:color="auto" w:fill="auto"/>
            <w:vAlign w:val="center"/>
          </w:tcPr>
          <w:p>
            <w:pPr>
              <w:jc w:val="center"/>
              <w:rPr>
                <w:lang w:val="en-US"/>
              </w:rPr>
            </w:pPr>
            <w:r>
              <w:rPr>
                <w:b/>
                <w:color w:val="0000FF"/>
              </w:rPr>
              <w:t>达标</w:t>
            </w:r>
          </w:p>
          <w:bookmarkEnd w:id="10"/>
        </w:tc>
        <w:tc>
          <w:tcPr>
            <w:tcW w:w="1416" w:type="dxa"/>
            <w:shd w:val="clear" w:color="auto" w:fill="auto"/>
            <w:vAlign w:val="center"/>
          </w:tcPr>
          <w:p>
            <w:pPr>
              <w:jc w:val="center"/>
              <w:rPr>
                <w:lang w:val="en-US"/>
              </w:rPr>
            </w:pPr>
            <w:r>
              <w:rPr>
                <w:rFonts w:hint="eastAsia"/>
                <w:lang w:val="en-US" w:eastAsia="zh-CN"/>
              </w:rPr>
              <w:t>2</w:t>
            </w:r>
            <w:r>
              <w:rPr>
                <w:rFonts w:hint="eastAsia"/>
                <w:lang w:val="en-US"/>
              </w:rPr>
              <w:t>分</w:t>
            </w:r>
          </w:p>
        </w:tc>
      </w:tr>
      <w:bookmarkEnd w:id="11"/>
      <w:bookmarkEnd w:id="13"/>
    </w:tbl>
    <w:p>
      <w:pPr>
        <w:rPr>
          <w:szCs w:val="21"/>
          <w:lang w:val="en-US"/>
        </w:rPr>
      </w:pPr>
    </w:p>
    <w:p>
      <w:pPr>
        <w:pStyle w:val="3"/>
        <w:ind w:firstLine="0" w:firstLineChars="0"/>
        <w:rPr>
          <w:lang w:val="en-US"/>
        </w:rPr>
      </w:pPr>
      <w:r>
        <w:rPr>
          <w:rFonts w:hint="eastAsia"/>
          <w:lang w:val="en-US"/>
        </w:rPr>
        <w:t>综合上述达标判断详表的信息，可知本项目得分为</w:t>
      </w:r>
      <w:r>
        <w:rPr>
          <w:rFonts w:hint="eastAsia"/>
          <w:lang w:val="en-US" w:eastAsia="zh-CN"/>
        </w:rPr>
        <w:t>4</w:t>
      </w:r>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915A3"/>
    <w:rsid w:val="00217F62"/>
    <w:rsid w:val="00A906D8"/>
    <w:rsid w:val="00AB5A74"/>
    <w:rsid w:val="00F071AE"/>
    <w:rsid w:val="0B3F5A22"/>
    <w:rsid w:val="5B56400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qFormat/>
    <w:uiPriority w:val="0"/>
    <w:rPr>
      <w:b/>
      <w:bCs/>
      <w:sz w:val="21"/>
      <w:szCs w:val="28"/>
      <w:lang w:val="en-GB"/>
    </w:rPr>
  </w:style>
  <w:style w:type="character" w:customStyle="1" w:styleId="38">
    <w:name w:val="标题 5 Char"/>
    <w:link w:val="7"/>
    <w:qFormat/>
    <w:uiPriority w:val="0"/>
    <w:rPr>
      <w:b/>
      <w:bCs/>
      <w:iCs/>
      <w:sz w:val="21"/>
      <w:szCs w:val="26"/>
      <w:lang w:val="en-GB"/>
    </w:rPr>
  </w:style>
  <w:style w:type="character" w:customStyle="1" w:styleId="39">
    <w:name w:val="标题 6 Char"/>
    <w:link w:val="8"/>
    <w:qFormat/>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2.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室外风环境模拟分析报告2019.dotx</Template>
  <Company>ths</Company>
  <Pages>12</Pages>
  <Words>2638</Words>
  <Characters>3113</Characters>
  <Lines>259</Lines>
  <Paragraphs>273</Paragraphs>
  <TotalTime>0</TotalTime>
  <ScaleCrop>false</ScaleCrop>
  <LinksUpToDate>false</LinksUpToDate>
  <CharactersWithSpaces>5478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2018-04-09T01:52:00Z</dcterms:created>
  <dc:creator>lilikui</dc:creator>
  <cp:lastModifiedBy>RUISI </cp:lastModifiedBy>
  <cp:lastPrinted>1900-12-31T16:00:00Z</cp:lastPrinted>
  <dcterms:modified xsi:type="dcterms:W3CDTF">2022-01-06T14:39:14Z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4AFDFF686466440CA19298ED0618C470</vt:lpwstr>
  </property>
</Properties>
</file>