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m="http://schemas.openxmlformats.org/officeDocument/2006/math" xmlns:w15="http://schemas.microsoft.com/office/word/2012/wordml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年产2000台（套）水环境污染防治设备项目 办公楼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参与单位名称：中冶地建设集团（三河）建筑设计咨询有限公司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基本级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2022年4月26日</w:t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经自评估，本项目控制项全部达标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2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2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4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2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总得分：Q=（Q0+Q1+Q2+Q3+Q4+Q5+QA）/10=40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4053289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3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4053289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3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场地安全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外部设施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建筑内部非结构构件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外门窗性能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防水防潮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满足紧急疏散要求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安全防护标识系统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0.0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m="http://schemas.openxmlformats.org/officeDocument/2006/math" xmlns:w15="http://schemas.microsoft.com/office/word/2012/wordml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m="http://schemas.openxmlformats.org/officeDocument/2006/math" xmlns:w15="http://schemas.microsoft.com/office/word/2012/wordml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jpeg" Type="http://schemas.openxmlformats.org/officeDocument/2006/relationships/image" Id="rId3"/>
    <Relationship Target="media/document_image_rId4.jpeg" Type="http://schemas.openxmlformats.org/officeDocument/2006/relationships/image" Id="rId4"/>
</Relationships>
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