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民生安新湿地尚城项目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4364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436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业主单位：民生地产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设计单位：中冀轩辕建设科技有限公司 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项目地址：安新县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报告日期：2022年5月7日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项目名称：民生安新湿地尚城项目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依据标准：《绿色建筑评价标准》（京津冀）DB11/T 825-2021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住宅建筑外窗传热系数降低比例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达到低限标准限值和高要求标准限值的平均值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7.6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4.5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10.7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0.5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76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节地与室外环境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节能与能源利用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节水与水资源利用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节材与材料资源利用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室内环境质量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