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</w:p>
    <w:p>
      <w:pPr>
        <w:spacing w:beforeLines="0" w:afterLines="0" w:line="113" w:lineRule="auto"/>
        <w:jc w:val="center"/>
      </w:pPr>
      <w:r>
        <w:rPr>
          <w:rFonts w:hint="eastAsia" w:ascii="黑体" w:eastAsia="黑体"/>
          <w:b/>
          <w:color w:val="000000"/>
          <w:sz w:val="44"/>
          <w:szCs w:val="44"/>
          <w:shd w:val="clear" w:color="auto" w:fill="FFFFFF"/>
        </w:rPr>
        <w:t>基于计算配筋</w:t>
      </w:r>
    </w:p>
    <w:p>
      <w:pPr>
        <w:spacing w:beforeLines="0" w:afterLines="0" w:line="113" w:lineRule="auto"/>
        <w:jc w:val="center"/>
      </w:pPr>
      <w:r>
        <w:rPr>
          <w:rFonts w:hint="eastAsia" w:ascii="黑体" w:eastAsia="黑体"/>
          <w:b/>
          <w:color w:val="000000"/>
          <w:sz w:val="52"/>
          <w:szCs w:val="52"/>
          <w:shd w:val="clear" w:color="auto" w:fill="FFFFFF"/>
        </w:rPr>
        <w:t>工程量初步统计</w:t>
      </w:r>
    </w:p>
    <w:p>
      <w:pPr>
        <w:sectPr>
          <w:headerReference r:id="rId3" w:type="default"/>
          <w:footerReference r:id="rId4" w:type="default"/>
          <w:pgSz w:w="11906" w:h="16838"/>
          <w:pgMar w:top="1134" w:right="1134" w:bottom="1134" w:left="1134" w:header="851" w:footer="992" w:gutter="0"/>
          <w:cols w:space="907" w:num="1"/>
          <w:docGrid w:type="lines" w:linePitch="113" w:charSpace="0"/>
        </w:sectPr>
      </w:pPr>
    </w:p>
    <w:p>
      <w:pPr>
        <w:pStyle w:val="3"/>
        <w:jc w:val="left"/>
      </w:pPr>
      <w:bookmarkStart w:id="0" w:name="_Toc0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1 全楼混凝土、钢材和钢筋总用量统计</w:t>
      </w:r>
      <w:bookmarkEnd w:id="0"/>
    </w:p>
    <w:p>
      <w:pPr>
        <w:jc w:val="center"/>
      </w:pPr>
      <w:r>
        <w:rPr>
          <w:rFonts w:hint="eastAsia" w:ascii="黑体" w:eastAsia="黑体"/>
          <w:b/>
          <w:color w:val="000000"/>
          <w:sz w:val="26"/>
          <w:szCs w:val="26"/>
          <w:shd w:val="clear" w:color="auto" w:fill="FFFFFF"/>
        </w:rPr>
        <w:t>表1 混凝土、钢材和钢筋用量全楼统计表</w:t>
      </w:r>
    </w:p>
    <w:tbl>
      <w:tblPr>
        <w:tblStyle w:val="17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1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901"/>
        <w:gridCol w:w="1901"/>
        <w:gridCol w:w="1901"/>
        <w:gridCol w:w="1901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层号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混凝土用量(m^3)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钢材用量(kg)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钢筋用量(kg)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楼层面积(m^2)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单位面积用钢量(kg/m^2)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922.8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63460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1883.8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215.5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18870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812.8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50.0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80950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698.3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47.6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81610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813.0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44.6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79040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813.0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44.6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79040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813.0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44.6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79040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813.0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44.6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79040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813.0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44.6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79040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813.0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44.6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78300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813.0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48.1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80880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813.0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51.5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83170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813.0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51.5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93200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851.4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38.8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62040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493.1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/>
                <w:color w:val="0000FF"/>
                <w:sz w:val="24"/>
                <w:szCs w:val="24"/>
                <w:shd w:val="clear" w:color="auto" w:fill="FFFFFF"/>
              </w:rPr>
              <w:t>总计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/>
                <w:color w:val="0000FF"/>
                <w:sz w:val="24"/>
                <w:szCs w:val="24"/>
                <w:shd w:val="clear" w:color="auto" w:fill="FFFFFF"/>
              </w:rPr>
              <w:t>1693.6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/>
                <w:color w:val="0000FF"/>
                <w:sz w:val="24"/>
                <w:szCs w:val="24"/>
                <w:shd w:val="clear" w:color="auto" w:fill="FFFFFF"/>
              </w:rPr>
              <w:t>955350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/>
                <w:color w:val="0000FF"/>
                <w:sz w:val="24"/>
                <w:szCs w:val="24"/>
                <w:shd w:val="clear" w:color="auto" w:fill="FFFFFF"/>
              </w:rPr>
              <w:t>82330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/>
                <w:color w:val="0000FF"/>
                <w:sz w:val="24"/>
                <w:szCs w:val="24"/>
                <w:shd w:val="clear" w:color="auto" w:fill="FFFFFF"/>
              </w:rPr>
              <w:t>12056.5</w:t>
            </w:r>
          </w:p>
        </w:tc>
        <w:tc>
          <w:tcPr>
            <w:tcW w:w="187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/>
                <w:color w:val="0000FF"/>
                <w:sz w:val="24"/>
                <w:szCs w:val="24"/>
                <w:shd w:val="clear" w:color="auto" w:fill="FFFFFF"/>
              </w:rPr>
              <w:t>86.1</w:t>
            </w:r>
          </w:p>
        </w:tc>
      </w:tr>
    </w:tbl>
    <w:p>
      <w:pPr>
        <w:pStyle w:val="3"/>
        <w:jc w:val="left"/>
      </w:pPr>
      <w:bookmarkStart w:id="1" w:name="_Toc1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2 工程量按构件类型全楼统计</w:t>
      </w:r>
      <w:bookmarkEnd w:id="1"/>
    </w:p>
    <w:p>
      <w:pPr>
        <w:jc w:val="center"/>
      </w:pPr>
      <w:r>
        <w:rPr>
          <w:rFonts w:hint="eastAsia" w:ascii="黑体" w:eastAsia="黑体"/>
          <w:b/>
          <w:color w:val="000000"/>
          <w:sz w:val="26"/>
          <w:szCs w:val="26"/>
          <w:shd w:val="clear" w:color="auto" w:fill="FFFFFF"/>
        </w:rPr>
        <w:t>表2 混凝土、钢材和钢筋用量按构件类型全楼统计表</w:t>
      </w:r>
    </w:p>
    <w:tbl>
      <w:tblPr>
        <w:tblStyle w:val="1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1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410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构件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混凝土用量(m^3)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钢材用量(吨)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钢筋用量(吨)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梁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231.5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516.7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柱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815.4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438.6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墙柱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639.5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墙梁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7.2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边缘构件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/>
                <w:color w:val="0000FF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/>
                <w:color w:val="0000FF"/>
                <w:sz w:val="24"/>
                <w:szCs w:val="24"/>
                <w:shd w:val="clear" w:color="auto" w:fill="FFFFFF"/>
              </w:rPr>
              <w:t>1693.6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/>
                <w:color w:val="0000FF"/>
                <w:sz w:val="24"/>
                <w:szCs w:val="24"/>
                <w:shd w:val="clear" w:color="auto" w:fill="FFFFFF"/>
              </w:rPr>
              <w:t>955.3</w:t>
            </w:r>
          </w:p>
        </w:tc>
        <w:tc>
          <w:tcPr>
            <w:tcW w:w="23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eastAsia="宋体"/>
                <w:b/>
                <w:color w:val="0000FF"/>
                <w:sz w:val="24"/>
                <w:szCs w:val="24"/>
                <w:shd w:val="clear" w:color="auto" w:fill="FFFFFF"/>
              </w:rPr>
              <w:t>82.3</w:t>
            </w:r>
          </w:p>
        </w:tc>
      </w:tr>
    </w:tbl>
    <w:p>
      <w:pPr>
        <w:jc w:val="center"/>
      </w:pPr>
      <w:r>
        <w:drawing>
          <wp:inline distT="0" distB="0" distL="0" distR="0">
            <wp:extent cx="5399405" cy="3599815"/>
            <wp:effectExtent l="4445" t="4445" r="6350" b="1524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center"/>
      </w:pPr>
      <w:r>
        <w:rPr>
          <w:rFonts w:hint="eastAsia" w:ascii="黑体" w:eastAsia="黑体"/>
          <w:b/>
          <w:color w:val="000000"/>
          <w:sz w:val="26"/>
          <w:szCs w:val="26"/>
          <w:shd w:val="clear" w:color="auto" w:fill="FFFFFF"/>
        </w:rPr>
        <w:t>图1 混凝土用量按构件类型全楼统计图(m^3)</w:t>
      </w:r>
    </w:p>
    <w:p>
      <w:pPr>
        <w:jc w:val="center"/>
      </w:pPr>
      <w:r>
        <w:drawing>
          <wp:inline distT="0" distB="0" distL="0" distR="0">
            <wp:extent cx="5399405" cy="3599815"/>
            <wp:effectExtent l="4445" t="4445" r="6350" b="1524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center"/>
      </w:pPr>
      <w:r>
        <w:rPr>
          <w:rFonts w:hint="eastAsia" w:ascii="黑体" w:eastAsia="黑体"/>
          <w:b/>
          <w:color w:val="000000"/>
          <w:sz w:val="26"/>
          <w:szCs w:val="26"/>
          <w:shd w:val="clear" w:color="auto" w:fill="FFFFFF"/>
        </w:rPr>
        <w:t>图2 钢材用量按构件类型全楼统计图(吨)</w:t>
      </w:r>
    </w:p>
    <w:p>
      <w:pPr>
        <w:jc w:val="center"/>
      </w:pPr>
      <w:r>
        <w:drawing>
          <wp:inline distT="0" distB="0" distL="0" distR="0">
            <wp:extent cx="5399405" cy="3599815"/>
            <wp:effectExtent l="4445" t="4445" r="6350" b="1524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jc w:val="center"/>
      </w:pPr>
      <w:r>
        <w:rPr>
          <w:rFonts w:hint="eastAsia" w:ascii="黑体" w:eastAsia="黑体"/>
          <w:b/>
          <w:color w:val="000000"/>
          <w:sz w:val="26"/>
          <w:szCs w:val="26"/>
          <w:shd w:val="clear" w:color="auto" w:fill="FFFFFF"/>
        </w:rPr>
        <w:t>图3 钢筋用量按构件类</w:t>
      </w:r>
      <w:bookmarkStart w:id="2" w:name="_GoBack"/>
      <w:bookmarkEnd w:id="2"/>
      <w:r>
        <w:rPr>
          <w:rFonts w:hint="eastAsia" w:ascii="黑体" w:eastAsia="黑体"/>
          <w:b/>
          <w:color w:val="000000"/>
          <w:sz w:val="26"/>
          <w:szCs w:val="26"/>
          <w:shd w:val="clear" w:color="auto" w:fill="FFFFFF"/>
        </w:rPr>
        <w:t>型全楼统计图(吨)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cols w:space="907" w:num="1"/>
      <w:docGrid w:type="lines" w:linePitch="1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t>北京构力科技有限公司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A57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unhideWhenUsed/>
    <w:uiPriority w:val="39"/>
    <w:pPr>
      <w:ind w:left="840" w:leftChars="400"/>
    </w:pPr>
  </w:style>
  <w:style w:type="paragraph" w:styleId="9">
    <w:name w:val="Balloon Text"/>
    <w:basedOn w:val="1"/>
    <w:link w:val="4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uiPriority w:val="39"/>
  </w:style>
  <w:style w:type="paragraph" w:styleId="13">
    <w:name w:val="toc 4"/>
    <w:basedOn w:val="1"/>
    <w:next w:val="1"/>
    <w:unhideWhenUsed/>
    <w:uiPriority w:val="39"/>
    <w:pPr>
      <w:ind w:left="1260" w:leftChars="600"/>
    </w:pPr>
  </w:style>
  <w:style w:type="paragraph" w:styleId="14">
    <w:name w:val="Subtitle"/>
    <w:basedOn w:val="1"/>
    <w:next w:val="1"/>
    <w:link w:val="4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oc 2"/>
    <w:basedOn w:val="1"/>
    <w:next w:val="1"/>
    <w:unhideWhenUsed/>
    <w:uiPriority w:val="39"/>
    <w:pPr>
      <w:ind w:left="420" w:leftChars="200"/>
    </w:pPr>
  </w:style>
  <w:style w:type="paragraph" w:styleId="16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9"/>
    <w:link w:val="11"/>
    <w:uiPriority w:val="99"/>
    <w:rPr>
      <w:sz w:val="18"/>
      <w:szCs w:val="18"/>
    </w:rPr>
  </w:style>
  <w:style w:type="table" w:customStyle="1" w:styleId="21">
    <w:name w:val="三线式表格(三条线都为细线)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</w:tcBorders>
      </w:tcPr>
    </w:tblStylePr>
  </w:style>
  <w:style w:type="table" w:customStyle="1" w:styleId="22">
    <w:name w:val="三线式表格(三条线都为细线)_表头为0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</w:tcBorders>
      </w:tcPr>
    </w:tblStylePr>
  </w:style>
  <w:style w:type="table" w:customStyle="1" w:styleId="23">
    <w:name w:val="三线式表格(三条线都为细线)_表头为2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4">
    <w:name w:val="三线式表格(三条线都为细线)_表头为3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5">
    <w:name w:val="三线式表格(顶底线粗，中线细)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6">
    <w:name w:val="三线式表格(顶底线粗，中线细)_表头为0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27">
    <w:name w:val="三线式表格(顶底线粗，中线细)_表头为2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8">
    <w:name w:val="三线式表格(顶底线粗，中线细)_表头为3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9">
    <w:name w:val="表头及底线粗，内线细，无两侧边框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0">
    <w:name w:val="表头及底线粗，内线细，无两侧边框_表头为0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31">
    <w:name w:val="表头及底线粗，内线细，无两侧边框_表头为2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2">
    <w:name w:val="表头及底线粗，内线细，无两侧边框_表头为3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3">
    <w:name w:val="表头及边框粗，内线细"/>
    <w:basedOn w:val="17"/>
    <w:qFormat/>
    <w:uiPriority w:val="99"/>
    <w:tblPr>
      <w:tblBorders>
        <w:top w:val="single" w:color="auto" w:sz="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table" w:customStyle="1" w:styleId="34">
    <w:name w:val="表头及边框粗，内线细_表头为0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</w:tcBorders>
      </w:tcPr>
    </w:tblStylePr>
  </w:style>
  <w:style w:type="table" w:customStyle="1" w:styleId="35">
    <w:name w:val="表头及边框粗，内线细_表头为2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6">
    <w:name w:val="表头及边框粗，内线细_表头为3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7">
    <w:name w:val="双外轮廓线式，外粗，内细 (表格内部线细)"/>
    <w:basedOn w:val="17"/>
    <w:qFormat/>
    <w:uiPriority w:val="99"/>
    <w:tblPr>
      <w:tblBorders>
        <w:top w:val="thinThickSmallGap" w:color="auto" w:sz="24" w:space="0"/>
        <w:left w:val="thinThickSmallGap" w:color="auto" w:sz="24" w:space="0"/>
        <w:bottom w:val="thickThinSmallGap" w:color="auto" w:sz="24" w:space="0"/>
        <w:right w:val="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8">
    <w:name w:val="双外轮廓线式，外细，内粗 (表格内部线细)"/>
    <w:basedOn w:val="17"/>
    <w:qFormat/>
    <w:uiPriority w:val="99"/>
    <w:tblPr>
      <w:tblBorders>
        <w:top w:val="thickThinSmallGap" w:color="auto" w:sz="24" w:space="0"/>
        <w:left w:val="thickThinSmallGap" w:color="auto" w:sz="24" w:space="0"/>
        <w:bottom w:val="thinThickSmallGap" w:color="auto" w:sz="24" w:space="0"/>
        <w:right w:val="thinThick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9">
    <w:name w:val="双外轮廓线式，外细，内细 (表格内部线细)"/>
    <w:basedOn w:val="17"/>
    <w:qFormat/>
    <w:uiPriority w:val="99"/>
    <w:tblPr>
      <w:tblBorders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三外轮廓线式，外细，中粗，内细 (表格内部线细)"/>
    <w:basedOn w:val="17"/>
    <w:qFormat/>
    <w:uiPriority w:val="99"/>
    <w:tblPr>
      <w:tblBorders>
        <w:top w:val="thinThickThinSmallGap" w:color="auto" w:sz="24" w:space="0"/>
        <w:left w:val="thinThickThinSmallGap" w:color="auto" w:sz="24" w:space="0"/>
        <w:bottom w:val="thinThickThinSmallGap" w:color="auto" w:sz="24" w:space="0"/>
        <w:right w:val="thin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三维式外轮廓线(表格内部线细)"/>
    <w:basedOn w:val="17"/>
    <w:qFormat/>
    <w:uiPriority w:val="99"/>
    <w:tblPr>
      <w:tblBorders>
        <w:top w:val="threeDEmboss" w:color="auto" w:sz="24" w:space="0"/>
        <w:left w:val="threeDEmboss" w:color="auto" w:sz="24" w:space="0"/>
        <w:bottom w:val="threeDEngrave" w:color="auto" w:sz="24" w:space="0"/>
        <w:right w:val="threeDEngrave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无线条"/>
    <w:basedOn w:val="17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页脚 Char"/>
    <w:basedOn w:val="19"/>
    <w:link w:val="10"/>
    <w:uiPriority w:val="99"/>
    <w:rPr>
      <w:sz w:val="18"/>
      <w:szCs w:val="18"/>
    </w:rPr>
  </w:style>
  <w:style w:type="character" w:customStyle="1" w:styleId="44">
    <w:name w:val="批注框文本 Char"/>
    <w:basedOn w:val="19"/>
    <w:link w:val="9"/>
    <w:semiHidden/>
    <w:uiPriority w:val="99"/>
    <w:rPr>
      <w:sz w:val="18"/>
      <w:szCs w:val="18"/>
    </w:rPr>
  </w:style>
  <w:style w:type="character" w:customStyle="1" w:styleId="45">
    <w:name w:val="标题 Char"/>
    <w:basedOn w:val="19"/>
    <w:link w:val="1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6">
    <w:name w:val="标题 1 Char"/>
    <w:basedOn w:val="19"/>
    <w:link w:val="2"/>
    <w:uiPriority w:val="9"/>
    <w:rPr>
      <w:b/>
      <w:bCs/>
      <w:kern w:val="44"/>
      <w:sz w:val="44"/>
      <w:szCs w:val="44"/>
    </w:rPr>
  </w:style>
  <w:style w:type="character" w:customStyle="1" w:styleId="47">
    <w:name w:val="副标题 Char"/>
    <w:basedOn w:val="19"/>
    <w:link w:val="1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8">
    <w:name w:val="标题 2 Char"/>
    <w:basedOn w:val="1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19"/>
    <w:link w:val="4"/>
    <w:uiPriority w:val="9"/>
    <w:rPr>
      <w:b/>
      <w:bCs/>
      <w:sz w:val="32"/>
      <w:szCs w:val="32"/>
    </w:rPr>
  </w:style>
  <w:style w:type="character" w:customStyle="1" w:styleId="50">
    <w:name w:val="标题 4 Char"/>
    <w:basedOn w:val="19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19"/>
    <w:link w:val="6"/>
    <w:uiPriority w:val="9"/>
    <w:rPr>
      <w:b/>
      <w:bCs/>
      <w:sz w:val="28"/>
      <w:szCs w:val="28"/>
    </w:rPr>
  </w:style>
  <w:style w:type="character" w:customStyle="1" w:styleId="52">
    <w:name w:val="标题 6 Char"/>
    <w:basedOn w:val="19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系列1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梁</c:v>
                </c:pt>
                <c:pt idx="1">
                  <c:v>柱</c:v>
                </c:pt>
                <c:pt idx="2">
                  <c:v>墙柱</c:v>
                </c:pt>
                <c:pt idx="3">
                  <c:v>墙梁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231.5</c:v>
                </c:pt>
                <c:pt idx="1">
                  <c:v>815.4</c:v>
                </c:pt>
                <c:pt idx="2">
                  <c:v>639.5</c:v>
                </c:pt>
                <c:pt idx="3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solidFill>
        <a:srgbClr val="FFFFFF"/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系列1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梁</c:v>
                </c:pt>
                <c:pt idx="1">
                  <c:v>柱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516.7</c:v>
                </c:pt>
                <c:pt idx="1">
                  <c:v>438.6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solidFill>
        <a:srgbClr val="FFFFFF"/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系列1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Sheet1!$A$2:$A$6</c:f>
              <c:strCache>
                <c:ptCount val="5"/>
                <c:pt idx="0">
                  <c:v>梁</c:v>
                </c:pt>
                <c:pt idx="1">
                  <c:v>柱</c:v>
                </c:pt>
                <c:pt idx="2">
                  <c:v>墙柱</c:v>
                </c:pt>
                <c:pt idx="3">
                  <c:v>墙梁</c:v>
                </c:pt>
                <c:pt idx="4">
                  <c:v>边缘构件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29.6</c:v>
                </c:pt>
                <c:pt idx="1">
                  <c:v>11.4</c:v>
                </c:pt>
                <c:pt idx="2">
                  <c:v>13.6</c:v>
                </c:pt>
                <c:pt idx="3">
                  <c:v>0.3</c:v>
                </c:pt>
                <c:pt idx="4">
                  <c:v>27.5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solidFill>
        <a:srgbClr val="FFFFFF"/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314</Words>
  <Characters>623</Characters>
  <Lines>1</Lines>
  <Paragraphs>1</Paragraphs>
  <TotalTime>14</TotalTime>
  <ScaleCrop>false</ScaleCrop>
  <LinksUpToDate>false</LinksUpToDate>
  <CharactersWithSpaces>630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2015-03-16T03:08:00Z</dcterms:created>
  <dc:creator>Admin</dc:creator>
  <cp:lastModifiedBy>Administrator</cp:lastModifiedBy>
  <dcterms:modified xsi:type="dcterms:W3CDTF">2022-08-25T10:54:02Z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8D1BFD168CE645FA8CA59D14E0DBBC05</vt:lpwstr>
  </property>
</Properties>
</file>