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Times New Roman" w:hAnsi="Times New Roman" w:eastAsia="宋体" w:cs="Times New Roman"/>
                <w:kern w:val="2"/>
                <w:sz w:val="21"/>
                <w:szCs w:val="22"/>
                <w:lang w:val="en-US" w:eastAsia="zh-CN" w:bidi="ar-SA"/>
              </w:rPr>
              <w:t>石家庄正定新区村民安置区（一）三里屯社区四区-商业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石家庄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vAlign w:val="top"/>
          </w:tcPr>
          <w:p>
            <w:pPr>
              <w:pStyle w:val="3"/>
              <w:ind w:left="0" w:leftChars="0" w:firstLine="0" w:firstLineChars="0"/>
              <w:rPr>
                <w:rFonts w:hint="default" w:ascii="Times New Roman" w:hAnsi="Times New Roman" w:eastAsia="宋体" w:cs="Times New Roman"/>
                <w:kern w:val="2"/>
                <w:sz w:val="21"/>
                <w:szCs w:val="22"/>
                <w:lang w:val="en-US" w:eastAsia="zh-CN" w:bidi="ar-SA"/>
              </w:rPr>
            </w:pPr>
            <w:bookmarkStart w:id="3" w:name="设计编号"/>
            <w:r>
              <w:rPr>
                <w:rFonts w:hint="eastAsia" w:ascii="Times New Roman" w:hAnsi="Times New Roman" w:eastAsia="宋体" w:cs="Times New Roman"/>
                <w:kern w:val="2"/>
                <w:sz w:val="21"/>
                <w:szCs w:val="22"/>
                <w:lang w:val="en-US" w:eastAsia="zh-CN" w:bidi="ar-SA"/>
              </w:rPr>
              <w:t>10（3）106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vAlign w:val="top"/>
          </w:tcPr>
          <w:p>
            <w:pPr>
              <w:pStyle w:val="3"/>
              <w:ind w:left="0" w:leftChars="0" w:firstLine="0" w:firstLineChars="0"/>
              <w:rPr>
                <w:rFonts w:hint="eastAsia" w:ascii="Times New Roman" w:hAnsi="Times New Roman" w:eastAsia="宋体" w:cs="Times New Roman"/>
                <w:kern w:val="2"/>
                <w:sz w:val="21"/>
                <w:szCs w:val="22"/>
                <w:lang w:val="en-GB" w:eastAsia="zh-CN" w:bidi="ar-SA"/>
              </w:rPr>
            </w:pPr>
            <w:bookmarkStart w:id="4" w:name="建设单位"/>
            <w:bookmarkEnd w:id="4"/>
            <w:r>
              <w:rPr>
                <w:rFonts w:hint="eastAsia" w:ascii="Times New Roman" w:hAnsi="Times New Roman" w:eastAsia="宋体" w:cs="Times New Roman"/>
                <w:kern w:val="2"/>
                <w:sz w:val="21"/>
                <w:szCs w:val="22"/>
                <w:lang w:val="en-US" w:eastAsia="zh-CN" w:bidi="ar-SA"/>
              </w:rPr>
              <w:t>石家庄正定新区建设与房管中心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vAlign w:val="top"/>
          </w:tcPr>
          <w:p>
            <w:pPr>
              <w:pStyle w:val="3"/>
              <w:ind w:left="0" w:leftChars="0" w:firstLine="0" w:firstLineChars="0"/>
              <w:rPr>
                <w:rFonts w:hint="eastAsia" w:ascii="Times New Roman" w:hAnsi="Times New Roman" w:eastAsia="宋体" w:cs="Times New Roman"/>
                <w:kern w:val="2"/>
                <w:sz w:val="21"/>
                <w:szCs w:val="22"/>
                <w:lang w:val="en-GB" w:eastAsia="zh-CN" w:bidi="ar-SA"/>
              </w:rPr>
            </w:pPr>
            <w:bookmarkStart w:id="5" w:name="设计单位"/>
            <w:r>
              <w:rPr>
                <w:rFonts w:hint="eastAsia" w:ascii="Times New Roman" w:hAnsi="Times New Roman" w:eastAsia="宋体" w:cs="Times New Roman"/>
                <w:kern w:val="2"/>
                <w:sz w:val="21"/>
                <w:szCs w:val="22"/>
                <w:lang w:val="en-US" w:eastAsia="zh-CN" w:bidi="ar-SA"/>
              </w:rPr>
              <w:t>河北建筑设计研究院有限责任公司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vAlign w:val="top"/>
          </w:tcPr>
          <w:p>
            <w:pPr>
              <w:pStyle w:val="3"/>
              <w:ind w:left="0" w:leftChars="0" w:firstLine="0" w:firstLineChars="0"/>
              <w:rPr>
                <w:rFonts w:hint="eastAsia" w:ascii="Times New Roman" w:hAnsi="Times New Roman" w:eastAsia="宋体" w:cs="Times New Roman"/>
                <w:kern w:val="2"/>
                <w:sz w:val="21"/>
                <w:szCs w:val="22"/>
                <w:lang w:val="en-GB" w:eastAsia="zh-CN" w:bidi="ar-SA"/>
              </w:rPr>
            </w:pPr>
            <w:r>
              <w:rPr>
                <w:rFonts w:hint="eastAsia" w:ascii="Times New Roman" w:hAnsi="Times New Roman" w:eastAsia="宋体" w:cs="Times New Roman"/>
                <w:kern w:val="2"/>
                <w:sz w:val="21"/>
                <w:szCs w:val="22"/>
                <w:lang w:val="en-US" w:eastAsia="zh-CN" w:bidi="ar-SA"/>
              </w:rPr>
              <w:t>魏宏轩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vAlign w:val="top"/>
          </w:tcPr>
          <w:p>
            <w:pPr>
              <w:pStyle w:val="3"/>
              <w:ind w:left="0" w:leftChars="0" w:firstLine="0" w:firstLineChars="0"/>
              <w:rPr>
                <w:rFonts w:hint="eastAsia" w:ascii="Times New Roman" w:hAnsi="Times New Roman" w:eastAsia="宋体" w:cs="Times New Roman"/>
                <w:kern w:val="2"/>
                <w:sz w:val="21"/>
                <w:szCs w:val="22"/>
                <w:lang w:val="en-GB"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vAlign w:val="top"/>
          </w:tcPr>
          <w:p>
            <w:pPr>
              <w:rPr>
                <w:rFonts w:ascii="Times New Roman" w:hAnsi="Times New Roman" w:eastAsia="宋体" w:cs="Times New Roman"/>
                <w:sz w:val="21"/>
                <w:szCs w:val="21"/>
                <w:lang w:val="en-GB" w:eastAsia="zh-CN" w:bidi="ar-SA"/>
              </w:rPr>
            </w:pPr>
            <w:r>
              <w:rPr>
                <w:rFonts w:hint="eastAsia" w:ascii="Times New Roman" w:hAnsi="Times New Roman" w:eastAsia="宋体" w:cs="Times New Roman"/>
                <w:kern w:val="2"/>
                <w:sz w:val="21"/>
                <w:szCs w:val="22"/>
                <w:lang w:val="en-US" w:eastAsia="zh-CN" w:bidi="ar-SA"/>
              </w:rPr>
              <w:t>张雪梅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vAlign w:val="top"/>
          </w:tcPr>
          <w:p>
            <w:pPr>
              <w:rPr>
                <w:rFonts w:ascii="Times New Roman" w:hAnsi="Times New Roman" w:eastAsia="宋体" w:cs="Times New Roman"/>
                <w:sz w:val="21"/>
                <w:szCs w:val="21"/>
                <w:lang w:val="en-GB"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vAlign w:val="top"/>
          </w:tcPr>
          <w:p>
            <w:pPr>
              <w:rPr>
                <w:rFonts w:ascii="Times New Roman" w:hAnsi="Times New Roman" w:eastAsia="宋体" w:cs="Times New Roman"/>
                <w:sz w:val="21"/>
                <w:szCs w:val="21"/>
                <w:lang w:val="en-GB" w:eastAsia="zh-CN" w:bidi="ar-SA"/>
              </w:rPr>
            </w:pPr>
            <w:r>
              <w:rPr>
                <w:rFonts w:ascii="Times New Roman" w:hAnsi="Times New Roman" w:cs="Times New Roman"/>
                <w:szCs w:val="21"/>
              </w:rPr>
              <w:t>2022年0</w:t>
            </w:r>
            <w:r>
              <w:rPr>
                <w:rFonts w:hint="eastAsia" w:ascii="Times New Roman" w:hAnsi="Times New Roman" w:cs="Times New Roman"/>
                <w:szCs w:val="21"/>
                <w:lang w:val="en-US" w:eastAsia="zh-CN"/>
              </w:rPr>
              <w:t>8</w:t>
            </w:r>
            <w:r>
              <w:rPr>
                <w:rFonts w:ascii="Times New Roman" w:hAnsi="Times New Roman" w:cs="Times New Roman"/>
                <w:szCs w:val="21"/>
              </w:rPr>
              <w:t>月</w:t>
            </w:r>
            <w:r>
              <w:rPr>
                <w:rFonts w:hint="eastAsia" w:ascii="Times New Roman" w:hAnsi="Times New Roman" w:cs="Times New Roman"/>
                <w:szCs w:val="21"/>
                <w:lang w:val="en-US" w:eastAsia="zh-CN"/>
              </w:rPr>
              <w:t>11</w:t>
            </w:r>
            <w:r>
              <w:rPr>
                <w:rFonts w:ascii="Times New Roman" w:hAnsi="Times New Roman" w:cs="Times New Roman"/>
                <w:szCs w:val="21"/>
              </w:rPr>
              <w:t>日</w:t>
            </w:r>
          </w:p>
        </w:tc>
      </w:tr>
    </w:tbl>
    <w:p>
      <w:pPr>
        <w:spacing w:line="240" w:lineRule="auto"/>
        <w:rPr>
          <w:rFonts w:ascii="宋体" w:hAnsi="宋体"/>
          <w:lang w:val="en-US"/>
        </w:rPr>
      </w:pPr>
    </w:p>
    <w:p>
      <w:pPr>
        <w:spacing w:line="240" w:lineRule="auto"/>
        <w:rPr>
          <w:rFonts w:ascii="宋体" w:hAnsi="宋体"/>
          <w:lang w:val="en-US"/>
        </w:rPr>
      </w:pPr>
      <w:bookmarkStart w:id="130" w:name="_GoBack"/>
      <w:bookmarkEnd w:id="130"/>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_Toc32142 </w:instrText>
      </w:r>
      <w:r>
        <w:rPr>
          <w:rFonts w:ascii="宋体" w:hAnsi="宋体"/>
          <w:bCs w:val="0"/>
          <w:caps/>
        </w:rPr>
        <w:fldChar w:fldCharType="separate"/>
      </w:r>
      <w:r>
        <w:rPr>
          <w:rFonts w:hint="eastAsia"/>
        </w:rPr>
        <w:t>1 项目概况</w:t>
      </w:r>
      <w:r>
        <w:tab/>
      </w:r>
      <w:r>
        <w:fldChar w:fldCharType="begin"/>
      </w:r>
      <w:r>
        <w:instrText xml:space="preserve"> PAGEREF _Toc32142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_Toc5363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_Toc5363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_Toc12677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_Toc12677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_Toc29946 </w:instrText>
      </w:r>
      <w:r>
        <w:fldChar w:fldCharType="separate"/>
      </w:r>
      <w:r>
        <w:rPr>
          <w:rFonts w:hint="eastAsia"/>
        </w:rPr>
        <w:t>2 计算</w:t>
      </w:r>
      <w:r>
        <w:t>依据</w:t>
      </w:r>
      <w:r>
        <w:tab/>
      </w:r>
      <w:r>
        <w:fldChar w:fldCharType="begin"/>
      </w:r>
      <w:r>
        <w:instrText xml:space="preserve"> PAGEREF _Toc29946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_Toc23242 </w:instrText>
      </w:r>
      <w:r>
        <w:fldChar w:fldCharType="separate"/>
      </w:r>
      <w:r>
        <w:rPr>
          <w:rFonts w:hint="eastAsia"/>
        </w:rPr>
        <w:t>3 参考</w:t>
      </w:r>
      <w:r>
        <w:t>标准</w:t>
      </w:r>
      <w:r>
        <w:tab/>
      </w:r>
      <w:r>
        <w:fldChar w:fldCharType="begin"/>
      </w:r>
      <w:r>
        <w:instrText xml:space="preserve"> PAGEREF _Toc23242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_Toc26047 </w:instrText>
      </w:r>
      <w:r>
        <w:fldChar w:fldCharType="separate"/>
      </w:r>
      <w:r>
        <w:rPr>
          <w:rFonts w:hint="eastAsia"/>
        </w:rPr>
        <w:t>4 计算原理</w:t>
      </w:r>
      <w:r>
        <w:tab/>
      </w:r>
      <w:r>
        <w:fldChar w:fldCharType="begin"/>
      </w:r>
      <w:r>
        <w:instrText xml:space="preserve"> PAGEREF _Toc26047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_Toc26850 </w:instrText>
      </w:r>
      <w:r>
        <w:fldChar w:fldCharType="separate"/>
      </w:r>
      <w:r>
        <w:rPr>
          <w:rFonts w:hint="eastAsia"/>
          <w:lang w:val="en-GB"/>
        </w:rPr>
        <w:t xml:space="preserve">4.1 </w:t>
      </w:r>
      <w:r>
        <w:rPr>
          <w:rFonts w:hint="eastAsia"/>
        </w:rPr>
        <w:t>风场计算域</w:t>
      </w:r>
      <w:r>
        <w:tab/>
      </w:r>
      <w:r>
        <w:fldChar w:fldCharType="begin"/>
      </w:r>
      <w:r>
        <w:instrText xml:space="preserve"> PAGEREF _Toc26850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_Toc10209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_Toc10209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_Toc13402 </w:instrText>
      </w:r>
      <w:r>
        <w:fldChar w:fldCharType="separate"/>
      </w:r>
      <w:r>
        <w:rPr>
          <w:rFonts w:hint="eastAsia"/>
          <w:lang w:val="en-GB"/>
        </w:rPr>
        <w:t xml:space="preserve">4.2 </w:t>
      </w:r>
      <w:r>
        <w:rPr>
          <w:rFonts w:hint="eastAsia"/>
        </w:rPr>
        <w:t>网格划分</w:t>
      </w:r>
      <w:r>
        <w:tab/>
      </w:r>
      <w:r>
        <w:fldChar w:fldCharType="begin"/>
      </w:r>
      <w:r>
        <w:instrText xml:space="preserve"> PAGEREF _Toc13402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_Toc2689 </w:instrText>
      </w:r>
      <w:r>
        <w:fldChar w:fldCharType="separate"/>
      </w:r>
      <w:r>
        <w:rPr>
          <w:rFonts w:hint="eastAsia"/>
          <w:lang w:val="en-GB"/>
        </w:rPr>
        <w:t xml:space="preserve">4.3 </w:t>
      </w:r>
      <w:r>
        <w:rPr>
          <w:rFonts w:hint="eastAsia"/>
        </w:rPr>
        <w:t>边界条件</w:t>
      </w:r>
      <w:r>
        <w:tab/>
      </w:r>
      <w:r>
        <w:fldChar w:fldCharType="begin"/>
      </w:r>
      <w:r>
        <w:instrText xml:space="preserve"> PAGEREF _Toc2689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_Toc19849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_Toc19849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_Toc19300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_Toc19300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_Toc30379 </w:instrText>
      </w:r>
      <w:r>
        <w:fldChar w:fldCharType="separate"/>
      </w:r>
      <w:r>
        <w:rPr>
          <w:rFonts w:hint="eastAsia"/>
          <w:lang w:val="en-GB"/>
        </w:rPr>
        <w:t xml:space="preserve">4.4 </w:t>
      </w:r>
      <w:r>
        <w:rPr>
          <w:rFonts w:hint="eastAsia"/>
        </w:rPr>
        <w:t>湍流模型</w:t>
      </w:r>
      <w:r>
        <w:tab/>
      </w:r>
      <w:r>
        <w:fldChar w:fldCharType="begin"/>
      </w:r>
      <w:r>
        <w:instrText xml:space="preserve"> PAGEREF _Toc30379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_Toc22846 </w:instrText>
      </w:r>
      <w:r>
        <w:fldChar w:fldCharType="separate"/>
      </w:r>
      <w:r>
        <w:rPr>
          <w:rFonts w:hint="eastAsia"/>
          <w:lang w:val="en-GB"/>
        </w:rPr>
        <w:t xml:space="preserve">4.5 </w:t>
      </w:r>
      <w:r>
        <w:rPr>
          <w:rFonts w:hint="eastAsia"/>
        </w:rPr>
        <w:t>求解计算</w:t>
      </w:r>
      <w:r>
        <w:tab/>
      </w:r>
      <w:r>
        <w:fldChar w:fldCharType="begin"/>
      </w:r>
      <w:r>
        <w:instrText xml:space="preserve"> PAGEREF _Toc22846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_Toc19325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_Toc19325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_Toc27388 </w:instrText>
      </w:r>
      <w:r>
        <w:fldChar w:fldCharType="separate"/>
      </w:r>
      <w:r>
        <w:rPr>
          <w:rFonts w:hint="eastAsia"/>
        </w:rPr>
        <w:t>5 结果</w:t>
      </w:r>
      <w:r>
        <w:t>分析</w:t>
      </w:r>
      <w:r>
        <w:tab/>
      </w:r>
      <w:r>
        <w:fldChar w:fldCharType="begin"/>
      </w:r>
      <w:r>
        <w:instrText xml:space="preserve"> PAGEREF _Toc27388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_Toc6799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_Toc6799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_Toc23553 </w:instrText>
      </w:r>
      <w:r>
        <w:fldChar w:fldCharType="separate"/>
      </w:r>
      <w:r>
        <w:rPr>
          <w:rFonts w:hint="eastAsia"/>
          <w:lang w:val="en-GB"/>
        </w:rPr>
        <w:t xml:space="preserve">5.2 </w:t>
      </w:r>
      <w:r>
        <w:rPr>
          <w:rFonts w:hint="eastAsia"/>
        </w:rPr>
        <w:t>夏季工况</w:t>
      </w:r>
      <w:r>
        <w:tab/>
      </w:r>
      <w:r>
        <w:fldChar w:fldCharType="begin"/>
      </w:r>
      <w:r>
        <w:instrText xml:space="preserve"> PAGEREF _Toc23553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_Toc21654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_Toc21654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_Toc27594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_Toc27594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_Toc15431 </w:instrText>
      </w:r>
      <w:r>
        <w:fldChar w:fldCharType="separate"/>
      </w:r>
      <w:r>
        <w:rPr>
          <w:rFonts w:hint="eastAsia" w:eastAsia="宋体"/>
          <w:szCs w:val="24"/>
          <w:lang w:val="en-GB"/>
        </w:rPr>
        <w:t xml:space="preserve">5.2.3 </w:t>
      </w:r>
      <w:r>
        <w:rPr>
          <w:rFonts w:hint="eastAsia"/>
        </w:rPr>
        <w:t>旋涡区/无风区达标结果汇总</w:t>
      </w:r>
      <w:r>
        <w:tab/>
      </w:r>
      <w:r>
        <w:fldChar w:fldCharType="begin"/>
      </w:r>
      <w:r>
        <w:instrText xml:space="preserve"> PAGEREF _Toc15431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_Toc32174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_Toc32174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_Toc339 </w:instrText>
      </w:r>
      <w:r>
        <w:fldChar w:fldCharType="separate"/>
      </w:r>
      <w:r>
        <w:rPr>
          <w:rFonts w:hint="eastAsia"/>
          <w:lang w:val="en-GB"/>
        </w:rPr>
        <w:t xml:space="preserve">5.3 </w:t>
      </w:r>
      <w:r>
        <w:rPr>
          <w:rFonts w:hint="eastAsia"/>
        </w:rPr>
        <w:t>结论</w:t>
      </w:r>
      <w:r>
        <w:tab/>
      </w:r>
      <w:r>
        <w:fldChar w:fldCharType="begin"/>
      </w:r>
      <w:r>
        <w:instrText xml:space="preserve"> PAGEREF _Toc339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_Toc15756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_Toc15756 \h </w:instrText>
      </w:r>
      <w:r>
        <w:fldChar w:fldCharType="separate"/>
      </w:r>
      <w:r>
        <w:t>16</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7" w:name="_Toc32142"/>
      <w:bookmarkStart w:id="8" w:name="_Toc452108759"/>
      <w:r>
        <w:rPr>
          <w:rFonts w:hint="eastAsia"/>
        </w:rPr>
        <w:t>项目概况</w:t>
      </w:r>
      <w:bookmarkEnd w:id="7"/>
      <w:bookmarkEnd w:id="8"/>
    </w:p>
    <w:p>
      <w:pPr>
        <w:pStyle w:val="3"/>
        <w:ind w:firstLine="420"/>
        <w:rPr>
          <w:lang w:val="en-US"/>
        </w:rPr>
      </w:pPr>
      <w:bookmarkStart w:id="9" w:name="项目概况"/>
      <w:bookmarkEnd w:id="9"/>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0" w:name="_Toc5363"/>
      <w:bookmarkStart w:id="11" w:name="_Toc452108760"/>
      <w:r>
        <w:rPr>
          <w:rFonts w:hint="eastAsia"/>
        </w:rPr>
        <w:t>总</w:t>
      </w:r>
      <w:r>
        <w:t>平面图</w:t>
      </w:r>
      <w:bookmarkEnd w:id="10"/>
      <w:bookmarkEnd w:id="1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2"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2"/>
    </w:tbl>
    <w:p>
      <w:pPr>
        <w:pStyle w:val="3"/>
        <w:ind w:firstLine="0" w:firstLineChars="0"/>
        <w:jc w:val="center"/>
        <w:rPr>
          <w:lang w:val="en-US"/>
        </w:rPr>
      </w:pPr>
      <w:r>
        <w:rPr>
          <w:rFonts w:hint="eastAsia"/>
          <w:lang w:val="en-US"/>
        </w:rPr>
        <w:t xml:space="preserve"> </w:t>
      </w:r>
      <w:bookmarkStart w:id="13" w:name="总平面图"/>
      <w:bookmarkEnd w:id="13"/>
      <w:r>
        <w:drawing>
          <wp:inline distT="0" distB="0" distL="0" distR="0">
            <wp:extent cx="5667375" cy="3133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4" w:name="_Toc12677"/>
      <w:bookmarkStart w:id="15" w:name="_Toc452108761"/>
      <w:r>
        <w:rPr>
          <w:rFonts w:hint="eastAsia"/>
        </w:rPr>
        <w:t>三</w:t>
      </w:r>
      <w:r>
        <w:t>维视图</w:t>
      </w:r>
      <w:bookmarkEnd w:id="14"/>
      <w:bookmarkEnd w:id="1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6"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6"/>
    </w:tbl>
    <w:p>
      <w:pPr>
        <w:pStyle w:val="3"/>
        <w:ind w:firstLine="0" w:firstLineChars="0"/>
        <w:jc w:val="center"/>
        <w:rPr>
          <w:lang w:val="en-US"/>
        </w:rPr>
      </w:pPr>
      <w:r>
        <w:rPr>
          <w:rFonts w:hint="eastAsia"/>
          <w:lang w:val="en-US"/>
        </w:rPr>
        <w:t xml:space="preserve"> </w:t>
      </w:r>
      <w:bookmarkStart w:id="17" w:name="三维视图"/>
      <w:bookmarkEnd w:id="17"/>
      <w:r>
        <w:drawing>
          <wp:inline distT="0" distB="0" distL="0" distR="0">
            <wp:extent cx="5667375" cy="3133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_Toc452108762"/>
      <w:bookmarkStart w:id="19" w:name="_Toc29946"/>
      <w:bookmarkStart w:id="20" w:name="TitleFormat"/>
      <w:r>
        <w:rPr>
          <w:rFonts w:hint="eastAsia"/>
        </w:rPr>
        <w:t>计算</w:t>
      </w:r>
      <w:r>
        <w:t>依据</w:t>
      </w:r>
      <w:bookmarkEnd w:id="18"/>
      <w:bookmarkEnd w:id="19"/>
      <w:bookmarkEnd w:id="20"/>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1" w:name="参考标准名称1"/>
      <w:r>
        <w:rPr>
          <w:rFonts w:hint="eastAsia"/>
          <w:lang w:val="en-US"/>
        </w:rPr>
        <w:t>《绿色建筑评价标准》（京津冀）DB11/T 825-2021</w:t>
      </w:r>
      <w:bookmarkEnd w:id="21"/>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2" w:name="_Toc452108763"/>
      <w:bookmarkStart w:id="23" w:name="_Toc23242"/>
      <w:r>
        <w:rPr>
          <w:rFonts w:hint="eastAsia"/>
        </w:rPr>
        <w:t>参考</w:t>
      </w:r>
      <w:r>
        <w:t>标准</w:t>
      </w:r>
      <w:bookmarkEnd w:id="22"/>
      <w:bookmarkEnd w:id="23"/>
    </w:p>
    <w:p>
      <w:pPr>
        <w:pStyle w:val="3"/>
        <w:ind w:firstLine="420"/>
        <w:rPr>
          <w:lang w:val="en-US"/>
        </w:rPr>
      </w:pPr>
      <w:r>
        <w:rPr>
          <w:rFonts w:hint="eastAsia"/>
          <w:lang w:val="en-US"/>
        </w:rPr>
        <w:t>室外风环境评价依据为</w:t>
      </w:r>
      <w:bookmarkStart w:id="24" w:name="参考标准名称2"/>
      <w:r>
        <w:rPr>
          <w:rFonts w:hint="eastAsia"/>
          <w:lang w:val="en-US"/>
        </w:rPr>
        <w:t>《绿色建筑评价标准》（京津冀）DB11/T 825-2021</w:t>
      </w:r>
      <w:bookmarkEnd w:id="24"/>
      <w:r>
        <w:rPr>
          <w:rFonts w:hint="eastAsia"/>
          <w:lang w:val="en-US"/>
        </w:rPr>
        <w:t>中有关室外风环境的条目要求。具体要求如下：</w:t>
      </w:r>
    </w:p>
    <w:p>
      <w:pPr>
        <w:pStyle w:val="3"/>
        <w:ind w:firstLine="420"/>
        <w:rPr>
          <w:lang w:val="en-US"/>
        </w:rPr>
      </w:pPr>
      <w:bookmarkStart w:id="25" w:name="_Toc452108764"/>
      <w:bookmarkStart w:id="26" w:name="_Toc451698935"/>
      <w:bookmarkStart w:id="27"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8" w:name="参考标准冬季风速得分"/>
      <w:r>
        <w:rPr>
          <w:lang w:val="en-US"/>
        </w:rPr>
        <w:t>3</w:t>
      </w:r>
      <w:r>
        <w:rPr>
          <w:rFonts w:hint="eastAsia"/>
          <w:lang w:val="en-US"/>
        </w:rPr>
        <w:t>分；除迎风第一排建筑外，建筑迎风面与背风面表面风压差不超过5Pa，得</w:t>
      </w:r>
      <w:bookmarkStart w:id="29" w:name="参考标准冬季风压得分"/>
      <w:r>
        <w:rPr>
          <w:lang w:val="en-US"/>
        </w:rPr>
        <w:t>2</w:t>
      </w:r>
      <w:bookmarkEnd w:id="29"/>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0" w:name="参考标准夏季风速得分"/>
      <w:r>
        <w:rPr>
          <w:lang w:val="en-US"/>
        </w:rPr>
        <w:t>3</w:t>
      </w:r>
      <w:bookmarkEnd w:id="30"/>
      <w:r>
        <w:rPr>
          <w:rFonts w:hint="eastAsia"/>
          <w:lang w:val="en-US"/>
        </w:rPr>
        <w:t>分；50%以上可开启外窗室内外表面的风压差大于0.5Pa，得</w:t>
      </w:r>
      <w:bookmarkStart w:id="31" w:name="参考标准夏季风压得分"/>
      <w:r>
        <w:rPr>
          <w:lang w:val="en-US"/>
        </w:rPr>
        <w:t>2</w:t>
      </w:r>
      <w:bookmarkEnd w:id="31"/>
      <w:r>
        <w:rPr>
          <w:rFonts w:hint="eastAsia"/>
          <w:lang w:val="en-US"/>
        </w:rPr>
        <w:t>分。</w:t>
      </w:r>
    </w:p>
    <w:p>
      <w:pPr>
        <w:pStyle w:val="2"/>
      </w:pPr>
      <w:bookmarkStart w:id="32" w:name="_Toc26047"/>
      <w:r>
        <w:rPr>
          <w:rFonts w:hint="eastAsia"/>
        </w:rPr>
        <w:t>计算原理</w:t>
      </w:r>
      <w:bookmarkEnd w:id="25"/>
      <w:bookmarkEnd w:id="26"/>
      <w:bookmarkEnd w:id="32"/>
    </w:p>
    <w:p>
      <w:pPr>
        <w:pStyle w:val="4"/>
        <w:numPr>
          <w:ilvl w:val="1"/>
          <w:numId w:val="3"/>
        </w:numPr>
      </w:pPr>
      <w:bookmarkStart w:id="33" w:name="_Toc509844740"/>
      <w:bookmarkStart w:id="34" w:name="_Toc26850"/>
      <w:bookmarkStart w:id="35" w:name="_Toc451698937"/>
      <w:bookmarkStart w:id="36" w:name="_Toc452108765"/>
      <w:r>
        <w:rPr>
          <w:rFonts w:hint="eastAsia"/>
        </w:rPr>
        <w:t>风场计算域</w:t>
      </w:r>
      <w:bookmarkEnd w:id="33"/>
      <w:bookmarkEnd w:id="34"/>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7" w:name="季节1"/>
      <w:bookmarkStart w:id="38" w:name="_Toc10209"/>
      <w:r>
        <w:rPr>
          <w:rFonts w:hint="eastAsia"/>
        </w:rPr>
        <w:t>夏季</w:t>
      </w:r>
      <w:bookmarkEnd w:id="37"/>
      <w:r>
        <w:rPr>
          <w:rFonts w:hint="eastAsia"/>
        </w:rPr>
        <w:t>工况风场计算域</w:t>
      </w:r>
      <w:bookmarkEnd w:id="38"/>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39" w:name="季节2"/>
      <w:r>
        <w:rPr>
          <w:rFonts w:hint="eastAsia" w:ascii="黑体" w:hAnsi="黑体" w:eastAsia="黑体"/>
          <w:sz w:val="20"/>
          <w:szCs w:val="20"/>
        </w:rPr>
        <w:t>夏季</w:t>
      </w:r>
      <w:bookmarkEnd w:id="39"/>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0" w:name="冬季风场X尺寸"/>
            <w:r>
              <w:t>318</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1" w:name="冬季风场Y尺寸"/>
            <w:r>
              <w:t>258</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2" w:name="冬季风场Z尺寸"/>
            <w:r>
              <w:t>104</w:t>
            </w:r>
            <w:bookmarkEnd w:id="42"/>
          </w:p>
        </w:tc>
      </w:tr>
    </w:tbl>
    <w:p>
      <w:pPr>
        <w:pStyle w:val="3"/>
        <w:ind w:firstLine="0" w:firstLineChars="0"/>
        <w:jc w:val="center"/>
        <w:rPr>
          <w:lang w:val="en-US"/>
        </w:rPr>
      </w:pPr>
      <w:bookmarkStart w:id="43" w:name="冬季工况风场计算域图示"/>
      <w:bookmarkEnd w:id="43"/>
      <w:r>
        <w:drawing>
          <wp:inline distT="0" distB="0" distL="0" distR="0">
            <wp:extent cx="5667375" cy="2809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2809875"/>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4" w:name="季节3"/>
      <w:r>
        <w:rPr>
          <w:rFonts w:hint="eastAsia" w:ascii="黑体" w:hAnsi="黑体"/>
        </w:rPr>
        <w:t>夏季</w:t>
      </w:r>
      <w:bookmarkEnd w:id="44"/>
      <w:r>
        <w:rPr>
          <w:rFonts w:hint="eastAsia"/>
        </w:rPr>
        <w:t>工况风场计算域图示</w:t>
      </w:r>
      <w:r>
        <w:rPr>
          <w:rFonts w:hint="eastAsia"/>
          <w:szCs w:val="21"/>
          <w:lang w:val="en-US"/>
        </w:rPr>
        <w:t xml:space="preserve"> </w:t>
      </w:r>
    </w:p>
    <w:p>
      <w:pPr>
        <w:pStyle w:val="3"/>
        <w:ind w:firstLine="315" w:firstLineChars="150"/>
        <w:rPr>
          <w:lang w:val="en-US"/>
        </w:rPr>
      </w:pPr>
      <w:bookmarkStart w:id="45"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6" w:name="_Toc509844741"/>
      <w:bookmarkStart w:id="47" w:name="_Toc13402"/>
      <w:r>
        <w:rPr>
          <w:rFonts w:hint="eastAsia"/>
        </w:rPr>
        <w:t>网格划分</w:t>
      </w:r>
      <w:bookmarkEnd w:id="46"/>
      <w:bookmarkEnd w:id="47"/>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8" w:name="OLE_LINK276"/>
      <w:bookmarkStart w:id="49" w:name="OLE_LINK277"/>
      <w:r>
        <w:rPr>
          <w:rFonts w:hint="eastAsia"/>
        </w:rPr>
        <w:t>1）普通网格：指除靠近地面和建筑以外的网格，通常不需要特别加密处理</w:t>
      </w:r>
    </w:p>
    <w:p>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8"/>
      <w:bookmarkEnd w:id="49"/>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1" w:name="冬季网格总数"/>
            <w:r>
              <w:t>438761</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分弧精度"/>
            <w:r>
              <w:t>0.16</w:t>
            </w:r>
            <w:bookmarkEnd w:id="52"/>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初始网格"/>
            <w:r>
              <w:t>8.0</w:t>
            </w:r>
            <w:bookmarkEnd w:id="53"/>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最小细分级数"/>
            <w:r>
              <w:t>2</w:t>
            </w:r>
            <w:bookmarkEnd w:id="54"/>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冬季最大细分级数"/>
            <w:r>
              <w:t>3</w:t>
            </w:r>
            <w:bookmarkEnd w:id="55"/>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远场细分级数"/>
            <w:r>
              <w:t>2</w:t>
            </w:r>
            <w:bookmarkEnd w:id="56"/>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近场细分级数"/>
            <w:r>
              <w:t>4</w:t>
            </w:r>
            <w:bookmarkEnd w:id="57"/>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地面附面层数"/>
            <w:r>
              <w:t>5</w:t>
            </w:r>
            <w:bookmarkEnd w:id="58"/>
          </w:p>
        </w:tc>
      </w:tr>
      <w:tr>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建筑附面层数"/>
            <w:r>
              <w:t>2</w:t>
            </w:r>
            <w:bookmarkEnd w:id="59"/>
          </w:p>
        </w:tc>
      </w:tr>
      <w:bookmarkEnd w:id="1"/>
    </w:tbl>
    <w:p>
      <w:pPr>
        <w:rPr>
          <w:szCs w:val="21"/>
          <w:lang w:val="en-US"/>
        </w:rPr>
      </w:pPr>
    </w:p>
    <w:p>
      <w:pPr>
        <w:jc w:val="center"/>
      </w:pPr>
      <w:bookmarkStart w:id="60" w:name="网格图"/>
      <w:bookmarkEnd w:id="60"/>
      <w:r>
        <w:drawing>
          <wp:inline distT="0" distB="0" distL="0" distR="0">
            <wp:extent cx="5667375" cy="30289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02895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1" w:name="季节"/>
      <w:r>
        <w:rPr>
          <w:rFonts w:hint="eastAsia" w:ascii="黑体" w:hAnsi="黑体" w:eastAsia="黑体"/>
          <w:sz w:val="20"/>
          <w:szCs w:val="20"/>
        </w:rPr>
        <w:t>夏季</w:t>
      </w:r>
      <w:bookmarkEnd w:id="61"/>
    </w:p>
    <w:p>
      <w:pPr>
        <w:pStyle w:val="3"/>
        <w:ind w:firstLine="630" w:firstLineChars="300"/>
        <w:rPr>
          <w:rFonts w:ascii="黑体" w:hAnsi="黑体" w:eastAsia="黑体"/>
          <w:szCs w:val="20"/>
          <w:lang w:val="en-US"/>
        </w:rPr>
      </w:pPr>
      <w:bookmarkStart w:id="62" w:name="网格划分信息"/>
      <w:bookmarkEnd w:id="62"/>
      <w:r>
        <w:rPr>
          <w:rFonts w:hint="eastAsia" w:ascii="黑体" w:hAnsi="黑体" w:eastAsia="黑体"/>
          <w:szCs w:val="20"/>
          <w:lang w:val="en-US"/>
        </w:rPr>
        <w:t>注：前述计算域随风向不同，所以相同的网格方案会产生不同的网格数量。</w:t>
      </w:r>
    </w:p>
    <w:bookmarkEnd w:id="45"/>
    <w:p>
      <w:pPr>
        <w:pStyle w:val="3"/>
        <w:ind w:firstLine="0" w:firstLineChars="0"/>
        <w:rPr>
          <w:rFonts w:ascii="黑体" w:hAnsi="黑体" w:eastAsia="黑体"/>
          <w:szCs w:val="20"/>
          <w:lang w:val="en-US"/>
        </w:rPr>
      </w:pPr>
    </w:p>
    <w:p>
      <w:pPr>
        <w:pStyle w:val="4"/>
        <w:numPr>
          <w:ilvl w:val="1"/>
          <w:numId w:val="3"/>
        </w:numPr>
      </w:pPr>
      <w:bookmarkStart w:id="63" w:name="_Toc509844742"/>
      <w:bookmarkStart w:id="64" w:name="_Toc2689"/>
      <w:r>
        <w:rPr>
          <w:rFonts w:hint="eastAsia"/>
        </w:rPr>
        <w:t>边界条件</w:t>
      </w:r>
      <w:bookmarkEnd w:id="63"/>
      <w:bookmarkEnd w:id="64"/>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5" w:name="_Toc509844743"/>
      <w:bookmarkStart w:id="66" w:name="_Toc19849"/>
      <w:r>
        <w:rPr>
          <w:rFonts w:hint="eastAsia"/>
        </w:rPr>
        <w:t>入口与出口边界条件</w:t>
      </w:r>
      <w:bookmarkEnd w:id="65"/>
      <w:bookmarkEnd w:id="66"/>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7" w:name="地面粗糙度指数2"/>
      <w:r>
        <w:rPr>
          <w:rFonts w:hint="eastAsia"/>
          <w:lang w:val="en-US"/>
        </w:rPr>
        <w:t>0.28</w:t>
      </w:r>
      <w:bookmarkEnd w:id="67"/>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8" w:name="_Toc509844744"/>
      <w:bookmarkStart w:id="69" w:name="_Toc19300"/>
      <w:r>
        <w:rPr>
          <w:rFonts w:hint="eastAsia"/>
        </w:rPr>
        <w:t>壁面边界条件</w:t>
      </w:r>
      <w:bookmarkEnd w:id="68"/>
      <w:bookmarkEnd w:id="69"/>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0" w:name="_Toc30379"/>
      <w:r>
        <w:rPr>
          <w:rFonts w:hint="eastAsia"/>
        </w:rPr>
        <w:t>湍流模型</w:t>
      </w:r>
      <w:bookmarkEnd w:id="35"/>
      <w:bookmarkEnd w:id="36"/>
      <w:bookmarkEnd w:id="70"/>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1" w:name="_Toc451698939"/>
      <w:bookmarkStart w:id="72" w:name="_Toc452108767"/>
      <w:bookmarkStart w:id="73" w:name="_Toc22846"/>
      <w:r>
        <w:rPr>
          <w:rFonts w:hint="eastAsia"/>
        </w:rPr>
        <w:t>求解计算</w:t>
      </w:r>
      <w:bookmarkEnd w:id="71"/>
      <w:bookmarkEnd w:id="72"/>
      <w:bookmarkEnd w:id="73"/>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4"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4"/>
      <w:r>
        <w:rPr>
          <w:rFonts w:hint="eastAsia" w:ascii="黑体" w:hAnsi="黑体" w:eastAsia="黑体"/>
          <w:sz w:val="20"/>
          <w:szCs w:val="20"/>
        </w:rPr>
        <w:t xml:space="preserve"> </w:t>
      </w:r>
      <w:bookmarkStart w:id="75" w:name="_Ref225175618"/>
      <w:r>
        <w:rPr>
          <w:rFonts w:hint="eastAsia" w:ascii="黑体" w:hAnsi="黑体" w:eastAsia="黑体"/>
          <w:sz w:val="20"/>
          <w:szCs w:val="20"/>
        </w:rPr>
        <w:t>计算流体力学的控制方程</w:t>
      </w:r>
      <w:bookmarkEnd w:id="75"/>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7"/>
    </w:p>
    <w:p>
      <w:pPr>
        <w:pStyle w:val="4"/>
      </w:pPr>
      <w:bookmarkStart w:id="76" w:name="_Toc509844747"/>
      <w:bookmarkStart w:id="77" w:name="_Toc19325"/>
      <w:r>
        <w:rPr>
          <w:rFonts w:hint="eastAsia"/>
        </w:rPr>
        <w:t>风速放大系数计算</w:t>
      </w:r>
      <w:bookmarkEnd w:id="76"/>
      <w:bookmarkEnd w:id="77"/>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8" w:name="地面粗糙度指数"/>
      <w:r>
        <w:rPr>
          <w:rFonts w:hint="eastAsia"/>
          <w:lang w:val="en-US"/>
        </w:rPr>
        <w:t>0.28</w:t>
      </w:r>
      <w:bookmarkEnd w:id="78"/>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9" w:name="_Toc27388"/>
      <w:bookmarkStart w:id="80" w:name="_Toc452108768"/>
      <w:r>
        <w:rPr>
          <w:rFonts w:hint="eastAsia"/>
        </w:rPr>
        <w:t>结果</w:t>
      </w:r>
      <w:r>
        <w:t>分析</w:t>
      </w:r>
      <w:bookmarkEnd w:id="79"/>
      <w:bookmarkEnd w:id="80"/>
    </w:p>
    <w:p>
      <w:pPr>
        <w:pStyle w:val="4"/>
        <w:rPr>
          <w:szCs w:val="21"/>
        </w:rPr>
      </w:pPr>
      <w:bookmarkStart w:id="81" w:name="_Toc6799"/>
      <w:r>
        <w:rPr>
          <w:rFonts w:hint="eastAsia"/>
          <w:szCs w:val="21"/>
        </w:rPr>
        <w:t>工况</w:t>
      </w:r>
      <w:r>
        <w:rPr>
          <w:szCs w:val="21"/>
        </w:rPr>
        <w:t>表</w:t>
      </w:r>
      <w:bookmarkEnd w:id="81"/>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2"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2.60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270.0</w:t>
            </w:r>
          </w:p>
        </w:tc>
      </w:tr>
      <w:bookmarkEnd w:id="82"/>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83" w:name="冬季工况"/>
      <w:bookmarkEnd w:id="83"/>
      <w:r>
        <w:rPr>
          <w:rFonts w:hint="eastAsia"/>
          <w:lang w:val="en-US"/>
        </w:rPr>
        <w:t xml:space="preserve"> </w:t>
      </w:r>
    </w:p>
    <w:p>
      <w:pPr>
        <w:pStyle w:val="4"/>
      </w:pPr>
      <w:bookmarkStart w:id="84" w:name="_Toc509844759"/>
      <w:bookmarkStart w:id="85" w:name="_Toc23553"/>
      <w:r>
        <w:rPr>
          <w:rFonts w:hint="eastAsia"/>
        </w:rPr>
        <w:t>夏季</w:t>
      </w:r>
      <w:bookmarkEnd w:id="0"/>
      <w:r>
        <w:rPr>
          <w:rFonts w:hint="eastAsia"/>
        </w:rPr>
        <w:t>工况</w:t>
      </w:r>
      <w:bookmarkEnd w:id="84"/>
      <w:bookmarkEnd w:id="85"/>
    </w:p>
    <w:p>
      <w:pPr>
        <w:pStyle w:val="3"/>
        <w:ind w:firstLine="420"/>
      </w:pPr>
      <w:r>
        <w:rPr>
          <w:rFonts w:hint="eastAsia"/>
          <w:lang w:val="en-US"/>
        </w:rPr>
        <w:t>本项目夏季</w:t>
      </w:r>
      <w:bookmarkEnd w:id="2"/>
      <w:r>
        <w:rPr>
          <w:rFonts w:hint="eastAsia"/>
          <w:lang w:val="en-US"/>
        </w:rPr>
        <w:t>工况的入口边界风速为</w:t>
      </w:r>
      <w:bookmarkStart w:id="86" w:name="入口边界风速"/>
      <w:r>
        <w:rPr>
          <w:rFonts w:hint="eastAsia"/>
          <w:lang w:val="en-US"/>
        </w:rPr>
        <w:t>2.60</w:t>
      </w:r>
      <w:bookmarkEnd w:id="86"/>
      <w:r>
        <w:rPr>
          <w:rFonts w:hint="eastAsia"/>
          <w:lang w:val="en-US"/>
        </w:rPr>
        <w:t>m/s，风向为</w:t>
      </w:r>
      <w:bookmarkStart w:id="87" w:name="入口边界风向"/>
      <w:r>
        <w:t>S</w:t>
      </w:r>
      <w:bookmarkEnd w:id="87"/>
      <w:r>
        <w:rPr>
          <w:rFonts w:hint="eastAsia"/>
          <w:lang w:val="en-US"/>
        </w:rPr>
        <w:t>。</w:t>
      </w:r>
    </w:p>
    <w:p>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8" w:name="季节4"/>
      <w:r>
        <w:rPr>
          <w:rFonts w:hint="eastAsia"/>
          <w:lang w:val="en-US"/>
        </w:rPr>
        <w:t>夏季</w:t>
      </w:r>
      <w:bookmarkEnd w:id="88"/>
      <w:r>
        <w:rPr>
          <w:rFonts w:hint="eastAsia"/>
          <w:lang w:val="en-US"/>
        </w:rPr>
        <w:t>形成有效的巷道风，优化街区自然通风环境，避免</w:t>
      </w:r>
      <w:bookmarkStart w:id="89" w:name="季节5"/>
      <w:r>
        <w:rPr>
          <w:rFonts w:hint="eastAsia"/>
          <w:lang w:val="en-US"/>
        </w:rPr>
        <w:t>夏季</w:t>
      </w:r>
      <w:bookmarkEnd w:id="89"/>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90" w:name="_Toc509844760"/>
      <w:bookmarkStart w:id="91" w:name="_Toc21654"/>
      <w:r>
        <w:rPr>
          <w:rFonts w:hint="eastAsia"/>
        </w:rPr>
        <w:t>无风区计算分析</w:t>
      </w:r>
      <w:bookmarkEnd w:id="90"/>
      <w:bookmarkEnd w:id="91"/>
    </w:p>
    <w:p>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92" w:name="人活动区风速分析结论"/>
      <w:bookmarkEnd w:id="92"/>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bookmarkStart w:id="93" w:name="人行区风速云图"/>
      <w:bookmarkEnd w:id="93"/>
      <w:r>
        <w:drawing>
          <wp:inline distT="0" distB="0" distL="0" distR="0">
            <wp:extent cx="5667375" cy="2657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265747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pPr>
        <w:pStyle w:val="3"/>
        <w:ind w:firstLine="420"/>
      </w:pPr>
    </w:p>
    <w:p>
      <w:pPr>
        <w:pStyle w:val="5"/>
      </w:pPr>
      <w:bookmarkStart w:id="94" w:name="_Toc509844761"/>
      <w:bookmarkStart w:id="95" w:name="_Toc27594"/>
      <w:r>
        <w:rPr>
          <w:rFonts w:hint="eastAsia"/>
        </w:rPr>
        <w:t>旋涡区分析</w:t>
      </w:r>
      <w:bookmarkEnd w:id="94"/>
      <w:bookmarkEnd w:id="95"/>
    </w:p>
    <w:p>
      <w:pPr>
        <w:pStyle w:val="3"/>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bookmarkStart w:id="96" w:name="人行区风速矢量图"/>
      <w:bookmarkEnd w:id="96"/>
      <w:r>
        <w:drawing>
          <wp:inline distT="0" distB="0" distL="0" distR="0">
            <wp:extent cx="5667375" cy="28670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286702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pPr>
        <w:pStyle w:val="3"/>
        <w:ind w:firstLine="420"/>
        <w:rPr>
          <w:lang w:val="en-US"/>
        </w:rPr>
      </w:pPr>
    </w:p>
    <w:p>
      <w:pPr>
        <w:pStyle w:val="5"/>
      </w:pPr>
      <w:bookmarkStart w:id="97" w:name="_Toc509844762"/>
      <w:bookmarkStart w:id="98" w:name="_Toc15431"/>
      <w:r>
        <w:rPr>
          <w:rFonts w:hint="eastAsia"/>
        </w:rPr>
        <w:t>旋涡区/无风区达标</w:t>
      </w:r>
      <w:bookmarkEnd w:id="97"/>
      <w:r>
        <w:rPr>
          <w:rFonts w:hint="eastAsia"/>
        </w:rPr>
        <w:t>结果汇总</w:t>
      </w:r>
      <w:bookmarkEnd w:id="98"/>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9" w:name="季节8"/>
      <w:r>
        <w:rPr>
          <w:rFonts w:hint="eastAsia" w:ascii="黑体" w:hAnsi="黑体" w:eastAsia="黑体"/>
          <w:sz w:val="20"/>
          <w:szCs w:val="20"/>
        </w:rPr>
        <w:t>夏季</w:t>
      </w:r>
      <w:bookmarkEnd w:id="99"/>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0" w:name="是否有无风区"/>
            <w:r>
              <w:rPr>
                <w:rFonts w:hint="eastAsia" w:ascii="宋体" w:hAnsi="宋体" w:cs="宋体"/>
                <w:color w:val="000000"/>
                <w:sz w:val="22"/>
                <w:szCs w:val="22"/>
                <w:lang w:val="en-US"/>
              </w:rPr>
              <w:t>否</w:t>
            </w:r>
            <w:bookmarkEnd w:id="100"/>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1" w:name="无风区达标判断"/>
            <w:r>
              <w:rPr>
                <w:rFonts w:hint="eastAsia" w:ascii="宋体" w:hAnsi="宋体" w:cs="宋体"/>
                <w:color w:val="000000"/>
                <w:sz w:val="22"/>
                <w:szCs w:val="22"/>
                <w:lang w:val="en-US"/>
              </w:rPr>
              <w:t>是</w:t>
            </w:r>
            <w:bookmarkEnd w:id="101"/>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2" w:name="是否有旋涡区"/>
            <w:r>
              <w:rPr>
                <w:rFonts w:ascii="宋体" w:hAnsi="宋体" w:cs="宋体"/>
                <w:color w:val="000000"/>
                <w:sz w:val="22"/>
                <w:szCs w:val="22"/>
                <w:lang w:val="en-US"/>
              </w:rPr>
              <w:t>否</w:t>
            </w:r>
            <w:bookmarkEnd w:id="102"/>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3" w:name="旋涡区达标判断"/>
            <w:r>
              <w:rPr>
                <w:rFonts w:ascii="宋体" w:hAnsi="宋体" w:cs="宋体"/>
                <w:color w:val="000000"/>
                <w:sz w:val="22"/>
                <w:szCs w:val="22"/>
                <w:lang w:val="en-US"/>
              </w:rPr>
              <w:t>是</w:t>
            </w:r>
            <w:bookmarkEnd w:id="103"/>
          </w:p>
        </w:tc>
      </w:tr>
    </w:tbl>
    <w:p>
      <w:pPr>
        <w:pStyle w:val="5"/>
      </w:pPr>
      <w:bookmarkStart w:id="104" w:name="_Toc504501018"/>
      <w:bookmarkStart w:id="105" w:name="_Toc509844763"/>
      <w:bookmarkStart w:id="106" w:name="_Toc32174"/>
      <w:r>
        <w:rPr>
          <w:rFonts w:hint="eastAsia"/>
        </w:rPr>
        <w:t>外窗内外表面风压</w:t>
      </w:r>
      <w:bookmarkEnd w:id="104"/>
      <w:r>
        <w:rPr>
          <w:rFonts w:hint="eastAsia"/>
        </w:rPr>
        <w:t>差达标分析</w:t>
      </w:r>
      <w:bookmarkEnd w:id="105"/>
      <w:bookmarkEnd w:id="106"/>
    </w:p>
    <w:p>
      <w:pPr>
        <w:pStyle w:val="3"/>
        <w:ind w:firstLine="420"/>
      </w:pPr>
      <w:r>
        <w:rPr>
          <w:rFonts w:hint="eastAsia"/>
          <w:lang w:val="en-US"/>
        </w:rPr>
        <w:t>分析《绿色建筑评价标准》，</w:t>
      </w:r>
      <w:bookmarkStart w:id="107" w:name="季节9"/>
      <w:r>
        <w:rPr>
          <w:rFonts w:hint="eastAsia"/>
          <w:lang w:val="en-US"/>
        </w:rPr>
        <w:t>夏季</w:t>
      </w:r>
      <w:bookmarkEnd w:id="107"/>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08" w:name="迎风面风压云图"/>
      <w:bookmarkEnd w:id="108"/>
      <w:r>
        <w:drawing>
          <wp:inline distT="0" distB="0" distL="0" distR="0">
            <wp:extent cx="5667375" cy="27908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2"/>
                    <a:stretch>
                      <a:fillRect/>
                    </a:stretch>
                  </pic:blipFill>
                  <pic:spPr>
                    <a:xfrm>
                      <a:off x="0" y="0"/>
                      <a:ext cx="5667375" cy="2790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09" w:name="季节10"/>
      <w:r>
        <w:rPr>
          <w:rFonts w:hint="eastAsia" w:ascii="黑体" w:hAnsi="黑体" w:eastAsia="黑体"/>
          <w:sz w:val="20"/>
          <w:szCs w:val="20"/>
        </w:rPr>
        <w:t>夏季</w:t>
      </w:r>
      <w:bookmarkEnd w:id="109"/>
    </w:p>
    <w:p>
      <w:pPr>
        <w:pStyle w:val="13"/>
        <w:jc w:val="center"/>
      </w:pPr>
      <w:bookmarkStart w:id="110" w:name="背风面风压云图"/>
      <w:bookmarkEnd w:id="110"/>
      <w:r>
        <w:drawing>
          <wp:inline distT="0" distB="0" distL="0" distR="0">
            <wp:extent cx="5667375" cy="28194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28194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11" w:name="季节11"/>
      <w:r>
        <w:rPr>
          <w:rFonts w:hint="eastAsia" w:ascii="黑体" w:hAnsi="黑体" w:eastAsia="黑体"/>
          <w:sz w:val="20"/>
          <w:szCs w:val="20"/>
        </w:rPr>
        <w:t>夏季</w:t>
      </w:r>
      <w:bookmarkEnd w:id="111"/>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bookmarkStart w:id="112"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DT单体(22.7.12-三里屯四区商业-改单层4_t8)</w:t>
            </w:r>
          </w:p>
        </w:tc>
        <w:tc>
          <w:tcPr>
            <w:tcW w:w="1134" w:type="dxa"/>
            <w:shd w:val="clear" w:color="auto" w:fill="auto"/>
            <w:vAlign w:val="center"/>
          </w:tcPr>
          <w:p>
            <w:pPr>
              <w:jc w:val="center"/>
              <w:rPr>
                <w:lang w:val="en-US"/>
              </w:rPr>
            </w:pPr>
            <w:r>
              <w:rPr>
                <w:lang w:val="en-US"/>
              </w:rPr>
              <w:t>34</w:t>
            </w:r>
          </w:p>
        </w:tc>
        <w:tc>
          <w:tcPr>
            <w:tcW w:w="1984" w:type="dxa"/>
            <w:shd w:val="clear" w:color="auto" w:fill="auto"/>
            <w:vAlign w:val="center"/>
          </w:tcPr>
          <w:p>
            <w:pPr>
              <w:jc w:val="center"/>
              <w:rPr>
                <w:lang w:val="en-US"/>
              </w:rPr>
            </w:pPr>
            <w:r>
              <w:rPr>
                <w:lang w:val="en-US"/>
              </w:rPr>
              <w:t>10</w:t>
            </w:r>
          </w:p>
        </w:tc>
        <w:tc>
          <w:tcPr>
            <w:tcW w:w="1116" w:type="dxa"/>
            <w:shd w:val="clear" w:color="auto" w:fill="auto"/>
            <w:vAlign w:val="center"/>
          </w:tcPr>
          <w:p>
            <w:pPr>
              <w:jc w:val="center"/>
              <w:rPr>
                <w:lang w:val="en-US"/>
              </w:rPr>
            </w:pPr>
            <w:r>
              <w:rPr>
                <w:lang w:val="en-US"/>
              </w:rPr>
              <w:t>29.41</w:t>
            </w:r>
          </w:p>
        </w:tc>
        <w:tc>
          <w:tcPr>
            <w:tcW w:w="708" w:type="dxa"/>
            <w:shd w:val="clear" w:color="auto" w:fill="auto"/>
            <w:vAlign w:val="center"/>
          </w:tcPr>
          <w:p>
            <w:pPr>
              <w:jc w:val="center"/>
              <w:rPr>
                <w:lang w:val="en-US"/>
              </w:rPr>
            </w:pPr>
            <w:r>
              <w:rPr>
                <w:color w:val="FF0000"/>
                <w:lang w:val="en-US"/>
              </w:rPr>
              <w:t>否</w:t>
            </w:r>
          </w:p>
        </w:tc>
      </w:tr>
      <w:bookmarkEnd w:id="112"/>
    </w:tbl>
    <w:p>
      <w:r>
        <w:rPr>
          <w:rFonts w:hint="eastAsia"/>
          <w:lang w:val="en-US"/>
        </w:rPr>
        <w:t>说明：达标比例＝（室内外风压差大于0.5Pa的总数/可开启外窗总数）*100％</w:t>
      </w:r>
    </w:p>
    <w:bookmarkEnd w:id="28"/>
    <w:p>
      <w:pPr>
        <w:rPr>
          <w:lang w:val="en-US"/>
        </w:rPr>
      </w:pPr>
    </w:p>
    <w:p/>
    <w:p>
      <w:pPr>
        <w:rPr>
          <w:lang w:val="en-US"/>
        </w:rPr>
      </w:pPr>
      <w:bookmarkStart w:id="113" w:name="建筑室内外风压差达标判定结论"/>
      <w:r>
        <w:rPr>
          <w:rFonts w:hint="eastAsia"/>
          <w:lang w:val="en-US"/>
        </w:rPr>
        <w:t>结论：本项目中所有建筑均未满足“50%以上可开启外窗室内外表面的风压差大于0.5Pa”的要求，该条不得分。</w:t>
      </w:r>
      <w:bookmarkEnd w:id="113"/>
      <w:r>
        <w:rPr>
          <w:rFonts w:hint="eastAsia"/>
          <w:lang w:val="en-US"/>
        </w:rPr>
        <w:t xml:space="preserve"> </w:t>
      </w:r>
    </w:p>
    <w:p>
      <w:pPr>
        <w:rPr>
          <w:lang w:val="en-US"/>
        </w:rPr>
      </w:pPr>
      <w:bookmarkStart w:id="114" w:name="其他工况"/>
      <w:bookmarkEnd w:id="114"/>
      <w:r>
        <w:rPr>
          <w:rFonts w:hint="eastAsia"/>
          <w:lang w:val="en-US"/>
        </w:rPr>
        <w:t xml:space="preserve"> </w:t>
      </w:r>
    </w:p>
    <w:p>
      <w:pPr>
        <w:pStyle w:val="4"/>
      </w:pPr>
      <w:bookmarkStart w:id="115" w:name="_Toc509844764"/>
      <w:bookmarkStart w:id="116" w:name="_Toc339"/>
      <w:r>
        <w:rPr>
          <w:rFonts w:hint="eastAsia"/>
        </w:rPr>
        <w:t>结论</w:t>
      </w:r>
      <w:bookmarkEnd w:id="115"/>
      <w:bookmarkEnd w:id="116"/>
    </w:p>
    <w:p>
      <w:pPr>
        <w:pStyle w:val="5"/>
      </w:pPr>
      <w:bookmarkStart w:id="117" w:name="_Toc509844767"/>
      <w:bookmarkEnd w:id="117"/>
      <w:bookmarkStart w:id="118" w:name="_Toc509844768"/>
      <w:bookmarkEnd w:id="118"/>
      <w:bookmarkStart w:id="119" w:name="_Toc509844769"/>
      <w:bookmarkStart w:id="120" w:name="_Toc15756"/>
      <w:r>
        <w:rPr>
          <w:rFonts w:hint="eastAsia"/>
        </w:rPr>
        <w:t>过渡季、夏季工况达标判断</w:t>
      </w:r>
      <w:bookmarkEnd w:id="119"/>
      <w:bookmarkEnd w:id="12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1" w:name="标准要求夏季风速得分"/>
            <w:r>
              <w:rPr>
                <w:rFonts w:hint="eastAsia"/>
                <w:lang w:val="en-US"/>
              </w:rPr>
              <w:t>3</w:t>
            </w:r>
            <w:bookmarkEnd w:id="121"/>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22" w:name="夏季无风区结果计算域"/>
            <w:r>
              <w:rPr>
                <w:rFonts w:hint="eastAsia"/>
                <w:lang w:val="en-US"/>
              </w:rPr>
              <w:t>无</w:t>
            </w:r>
            <w:bookmarkEnd w:id="122"/>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bookmarkStart w:id="123" w:name="夏季无风区达标判定"/>
            <w:r>
              <w:rPr>
                <w:rFonts w:hint="eastAsia"/>
                <w:b/>
                <w:lang w:val="en-US"/>
              </w:rPr>
              <w:t>达标</w:t>
            </w:r>
            <w:bookmarkEnd w:id="123"/>
          </w:p>
        </w:tc>
        <w:tc>
          <w:tcPr>
            <w:tcW w:w="1416" w:type="dxa"/>
            <w:vMerge w:val="restart"/>
            <w:tcBorders>
              <w:top w:val="single" w:color="auto" w:sz="4" w:space="0"/>
            </w:tcBorders>
            <w:shd w:val="clear" w:color="auto" w:fill="auto"/>
            <w:vAlign w:val="center"/>
          </w:tcPr>
          <w:p>
            <w:pPr>
              <w:jc w:val="center"/>
              <w:rPr>
                <w:lang w:val="en-US"/>
              </w:rPr>
            </w:pPr>
            <w:bookmarkStart w:id="124" w:name="夏季无风区得分"/>
            <w:r>
              <w:rPr>
                <w:rFonts w:hint="eastAsia"/>
                <w:lang w:val="en-US"/>
              </w:rPr>
              <w:t>3</w:t>
            </w:r>
            <w:bookmarkEnd w:id="124"/>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5" w:name="标准要求夏季风压得分"/>
            <w:r>
              <w:rPr>
                <w:rFonts w:hint="eastAsia"/>
                <w:lang w:val="en-US"/>
              </w:rPr>
              <w:t>2</w:t>
            </w:r>
            <w:bookmarkEnd w:id="125"/>
            <w:r>
              <w:rPr>
                <w:rFonts w:hint="eastAsia"/>
                <w:lang w:val="en-US"/>
              </w:rPr>
              <w:t>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26" w:name="夏季窗内外风压差结果"/>
            <w:r>
              <w:rPr>
                <w:rFonts w:hint="eastAsia"/>
                <w:color w:val="FF0000"/>
                <w:lang w:val="en-US"/>
              </w:rPr>
              <w:t>不满足</w:t>
            </w:r>
            <w:bookmarkEnd w:id="126"/>
            <w:r>
              <w:rPr>
                <w:rFonts w:hint="eastAsia"/>
                <w:lang w:val="en-US"/>
              </w:rPr>
              <w:t>标准要求</w:t>
            </w:r>
          </w:p>
        </w:tc>
        <w:tc>
          <w:tcPr>
            <w:tcW w:w="1985" w:type="dxa"/>
            <w:shd w:val="clear" w:color="auto" w:fill="auto"/>
            <w:vAlign w:val="center"/>
          </w:tcPr>
          <w:p>
            <w:pPr>
              <w:jc w:val="center"/>
              <w:rPr>
                <w:b/>
                <w:lang w:val="en-US"/>
              </w:rPr>
            </w:pPr>
            <w:bookmarkStart w:id="127" w:name="夏季窗内外风压差达标判定"/>
            <w:r>
              <w:rPr>
                <w:rFonts w:hint="eastAsia"/>
                <w:b/>
                <w:color w:val="FF0000"/>
                <w:lang w:val="en-US"/>
              </w:rPr>
              <w:t>不达标</w:t>
            </w:r>
            <w:bookmarkEnd w:id="127"/>
          </w:p>
        </w:tc>
        <w:tc>
          <w:tcPr>
            <w:tcW w:w="1416" w:type="dxa"/>
            <w:shd w:val="clear" w:color="auto" w:fill="auto"/>
            <w:vAlign w:val="center"/>
          </w:tcPr>
          <w:p>
            <w:pPr>
              <w:jc w:val="center"/>
              <w:rPr>
                <w:lang w:val="en-US"/>
              </w:rPr>
            </w:pPr>
            <w:bookmarkStart w:id="128" w:name="夏季窗内外风压差得分"/>
            <w:r>
              <w:rPr>
                <w:rFonts w:hint="eastAsia"/>
                <w:lang w:val="en-US"/>
              </w:rPr>
              <w:t>0</w:t>
            </w:r>
            <w:bookmarkEnd w:id="128"/>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29" w:name="总得分"/>
      <w:r>
        <w:rPr>
          <w:rFonts w:hint="eastAsia"/>
          <w:lang w:val="en-US"/>
        </w:rPr>
        <w:t>3</w:t>
      </w:r>
      <w:bookmarkEnd w:id="129"/>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YjM2NzE1ZTE5ZmU4ODFmNGM4ZTFiMTQ1NWM3OTAifQ=="/>
  </w:docVars>
  <w:rsids>
    <w:rsidRoot w:val="0A2F6822"/>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0A2F6822"/>
    <w:rsid w:val="5C585B1A"/>
    <w:rsid w:val="665E4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1D4-53B0-4689-ABF5-7E3C00284559}">
  <ds:schemaRefs/>
</ds:datastoreItem>
</file>

<file path=docProps/app.xml><?xml version="1.0" encoding="utf-8"?>
<Properties xmlns="http://schemas.openxmlformats.org/officeDocument/2006/extended-properties" xmlns:vt="http://schemas.openxmlformats.org/officeDocument/2006/docPropsVTypes">
  <Template>tmp2.dotx</Template>
  <Pages>17</Pages>
  <Words>4316</Words>
  <Characters>4754</Characters>
  <Lines>40</Lines>
  <Paragraphs>11</Paragraphs>
  <TotalTime>0</TotalTime>
  <ScaleCrop>false</ScaleCrop>
  <LinksUpToDate>false</LinksUpToDate>
  <CharactersWithSpaces>5089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2022-07-23T07:12:00Z</dcterms:created>
  <dc:creator>脸白实黑</dc:creator>
  <cp:lastModifiedBy>脸白实黑</cp:lastModifiedBy>
  <dcterms:modified xsi:type="dcterms:W3CDTF">2022-08-11T02:40:35Z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B99CBD21687F4D36BED32021D2590CC7</vt:lpwstr>
  </property>
  <property fmtid="{D5CDD505-2E9C-101B-9397-08002B2CF9AE}" pid="3" name="KSOProductBuildVer">
    <vt:lpwstr>2052-11.1.0.12302</vt:lpwstr>
  </property>
</Properties>
</file>