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石家庄正定新区村民安置区（一）三里屯社区公建区-幼儿园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r>
              <w:rPr>
                <w:rFonts w:hint="eastAsia"/>
              </w:rPr>
              <w:t>2019（03）087</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石家庄正定新区建设与房管中心</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河北建筑设计研究院有限责公司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rPr>
                <w:rFonts w:hint="eastAsia" w:eastAsia="微软雅黑"/>
                <w:lang w:val="en-US" w:eastAsia="zh-CN"/>
              </w:rPr>
            </w:pPr>
            <w:r>
              <w:rPr>
                <w:rFonts w:hint="eastAsia"/>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r>
              <w:rPr>
                <w:rFonts w:hint="eastAsia"/>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2022年9月5日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T15130193686</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_Toc2510 </w:instrText>
      </w:r>
      <w:r>
        <w:rPr>
          <w:rFonts w:ascii="宋体" w:hAnsi="宋体"/>
          <w:caps/>
        </w:rPr>
        <w:fldChar w:fldCharType="separate"/>
      </w:r>
      <w:r>
        <w:t xml:space="preserve">1 </w:t>
      </w:r>
      <w:r>
        <w:rPr>
          <w:rFonts w:hint="eastAsia"/>
        </w:rPr>
        <w:t>建筑概况</w:t>
      </w:r>
      <w:r>
        <w:tab/>
      </w:r>
      <w:r>
        <w:fldChar w:fldCharType="begin"/>
      </w:r>
      <w:r>
        <w:instrText xml:space="preserve"> PAGEREF _Toc2510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_Toc17799 </w:instrText>
      </w:r>
      <w:r>
        <w:fldChar w:fldCharType="separate"/>
      </w:r>
      <w:r>
        <w:t xml:space="preserve">2 </w:t>
      </w:r>
      <w:r>
        <w:rPr>
          <w:rFonts w:hint="eastAsia"/>
        </w:rPr>
        <w:t>评价依据</w:t>
      </w:r>
      <w:r>
        <w:tab/>
      </w:r>
      <w:r>
        <w:fldChar w:fldCharType="begin"/>
      </w:r>
      <w:r>
        <w:instrText xml:space="preserve"> PAGEREF _Toc17799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_Toc11232 </w:instrText>
      </w:r>
      <w:r>
        <w:fldChar w:fldCharType="separate"/>
      </w:r>
      <w:r>
        <w:t xml:space="preserve">3 </w:t>
      </w:r>
      <w:r>
        <w:rPr>
          <w:rFonts w:hint="eastAsia"/>
        </w:rPr>
        <w:t>标准</w:t>
      </w:r>
      <w:r>
        <w:t>要求</w:t>
      </w:r>
      <w:r>
        <w:tab/>
      </w:r>
      <w:r>
        <w:fldChar w:fldCharType="begin"/>
      </w:r>
      <w:r>
        <w:instrText xml:space="preserve"> PAGEREF _Toc11232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_Toc32125 </w:instrText>
      </w:r>
      <w:r>
        <w:fldChar w:fldCharType="separate"/>
      </w:r>
      <w:r>
        <w:rPr>
          <w:kern w:val="2"/>
        </w:rPr>
        <w:t xml:space="preserve">4 </w:t>
      </w:r>
      <w:r>
        <w:rPr>
          <w:rFonts w:hint="eastAsia"/>
          <w:kern w:val="2"/>
        </w:rPr>
        <w:t>隔声理论概述</w:t>
      </w:r>
      <w:r>
        <w:tab/>
      </w:r>
      <w:r>
        <w:fldChar w:fldCharType="begin"/>
      </w:r>
      <w:r>
        <w:instrText xml:space="preserve"> PAGEREF _Toc32125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_Toc18204 </w:instrText>
      </w:r>
      <w:r>
        <w:fldChar w:fldCharType="separate"/>
      </w:r>
      <w:r>
        <w:t xml:space="preserve">4.1 </w:t>
      </w:r>
      <w:r>
        <w:rPr>
          <w:rFonts w:hint="eastAsia"/>
        </w:rPr>
        <w:t>原理概要</w:t>
      </w:r>
      <w:r>
        <w:tab/>
      </w:r>
      <w:r>
        <w:fldChar w:fldCharType="begin"/>
      </w:r>
      <w:r>
        <w:instrText xml:space="preserve"> PAGEREF _Toc18204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_Toc2443 </w:instrText>
      </w:r>
      <w:r>
        <w:fldChar w:fldCharType="separate"/>
      </w:r>
      <w:r>
        <w:t xml:space="preserve">4.2 </w:t>
      </w:r>
      <w:r>
        <w:rPr>
          <w:rFonts w:hint="eastAsia"/>
        </w:rPr>
        <w:t>质量定律</w:t>
      </w:r>
      <w:r>
        <w:tab/>
      </w:r>
      <w:r>
        <w:fldChar w:fldCharType="begin"/>
      </w:r>
      <w:r>
        <w:instrText xml:space="preserve"> PAGEREF _Toc2443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_Toc5194 </w:instrText>
      </w:r>
      <w:r>
        <w:fldChar w:fldCharType="separate"/>
      </w:r>
      <w:r>
        <w:t>4.3 隔声</w:t>
      </w:r>
      <w:r>
        <w:rPr>
          <w:rFonts w:hint="eastAsia"/>
        </w:rPr>
        <w:t>量计算经验</w:t>
      </w:r>
      <w:r>
        <w:t>公式</w:t>
      </w:r>
      <w:r>
        <w:tab/>
      </w:r>
      <w:r>
        <w:fldChar w:fldCharType="begin"/>
      </w:r>
      <w:r>
        <w:instrText xml:space="preserve"> PAGEREF _Toc5194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_Toc11794 </w:instrText>
      </w:r>
      <w:r>
        <w:fldChar w:fldCharType="separate"/>
      </w:r>
      <w:r>
        <w:t xml:space="preserve">4.4 </w:t>
      </w:r>
      <w:r>
        <w:rPr>
          <w:rFonts w:hint="eastAsia"/>
        </w:rPr>
        <w:t>单值评价量</w:t>
      </w:r>
      <w:r>
        <w:tab/>
      </w:r>
      <w:r>
        <w:fldChar w:fldCharType="begin"/>
      </w:r>
      <w:r>
        <w:instrText xml:space="preserve"> PAGEREF _Toc11794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_Toc25116 </w:instrText>
      </w:r>
      <w:r>
        <w:fldChar w:fldCharType="separate"/>
      </w:r>
      <w:r>
        <w:t xml:space="preserve">4.5 </w:t>
      </w:r>
      <w:r>
        <w:rPr>
          <w:rFonts w:hint="eastAsia"/>
        </w:rPr>
        <w:t>频谱修正量</w:t>
      </w:r>
      <w:r>
        <w:tab/>
      </w:r>
      <w:r>
        <w:fldChar w:fldCharType="begin"/>
      </w:r>
      <w:r>
        <w:instrText xml:space="preserve"> PAGEREF _Toc25116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_Toc29581 </w:instrText>
      </w:r>
      <w:r>
        <w:fldChar w:fldCharType="separate"/>
      </w:r>
      <w:r>
        <w:t xml:space="preserve">5 </w:t>
      </w:r>
      <w:r>
        <w:rPr>
          <w:rFonts w:hint="eastAsia"/>
        </w:rPr>
        <w:t>构件空气声隔声性能</w:t>
      </w:r>
      <w:r>
        <w:tab/>
      </w:r>
      <w:r>
        <w:fldChar w:fldCharType="begin"/>
      </w:r>
      <w:r>
        <w:instrText xml:space="preserve"> PAGEREF _Toc29581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_Toc24960 </w:instrText>
      </w:r>
      <w:r>
        <w:fldChar w:fldCharType="separate"/>
      </w:r>
      <w:r>
        <w:t xml:space="preserve">5.1 </w:t>
      </w:r>
      <w:r>
        <w:rPr>
          <w:rFonts w:hint="eastAsia"/>
        </w:rPr>
        <w:t>墙板的空气声隔声量</w:t>
      </w:r>
      <w:r>
        <w:tab/>
      </w:r>
      <w:r>
        <w:fldChar w:fldCharType="begin"/>
      </w:r>
      <w:r>
        <w:instrText xml:space="preserve"> PAGEREF _Toc24960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_Toc28676 </w:instrText>
      </w:r>
      <w:r>
        <w:fldChar w:fldCharType="separate"/>
      </w:r>
      <w:r>
        <w:t xml:space="preserve">5.1.1 </w:t>
      </w:r>
      <w:r>
        <w:rPr>
          <w:rFonts w:hint="eastAsia"/>
        </w:rPr>
        <w:t>墙板构造做法</w:t>
      </w:r>
      <w:r>
        <w:tab/>
      </w:r>
      <w:r>
        <w:fldChar w:fldCharType="begin"/>
      </w:r>
      <w:r>
        <w:instrText xml:space="preserve"> PAGEREF _Toc28676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_Toc15823 </w:instrText>
      </w:r>
      <w:r>
        <w:fldChar w:fldCharType="separate"/>
      </w:r>
      <w:r>
        <w:t xml:space="preserve">5.1.2 </w:t>
      </w:r>
      <w:r>
        <w:rPr>
          <w:rFonts w:hint="eastAsia"/>
        </w:rPr>
        <w:t>墙板空气声隔声性能</w:t>
      </w:r>
      <w:r>
        <w:tab/>
      </w:r>
      <w:r>
        <w:fldChar w:fldCharType="begin"/>
      </w:r>
      <w:r>
        <w:instrText xml:space="preserve"> PAGEREF _Toc15823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_Toc8474 </w:instrText>
      </w:r>
      <w:r>
        <w:fldChar w:fldCharType="separate"/>
      </w:r>
      <w:r>
        <w:t xml:space="preserve">5.2 </w:t>
      </w:r>
      <w:r>
        <w:rPr>
          <w:rFonts w:hint="eastAsia"/>
        </w:rPr>
        <w:t>门窗的空气声隔声量</w:t>
      </w:r>
      <w:r>
        <w:tab/>
      </w:r>
      <w:r>
        <w:fldChar w:fldCharType="begin"/>
      </w:r>
      <w:r>
        <w:instrText xml:space="preserve"> PAGEREF _Toc8474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_Toc10020 </w:instrText>
      </w:r>
      <w:r>
        <w:fldChar w:fldCharType="separate"/>
      </w:r>
      <w:r>
        <w:t xml:space="preserve">6 </w:t>
      </w:r>
      <w:r>
        <w:rPr>
          <w:rFonts w:hint="eastAsia"/>
        </w:rPr>
        <w:t>楼板撞击声隔声性能</w:t>
      </w:r>
      <w:r>
        <w:tab/>
      </w:r>
      <w:r>
        <w:fldChar w:fldCharType="begin"/>
      </w:r>
      <w:r>
        <w:instrText xml:space="preserve"> PAGEREF _Toc10020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_Toc888 </w:instrText>
      </w:r>
      <w:r>
        <w:fldChar w:fldCharType="separate"/>
      </w:r>
      <w:r>
        <w:rPr>
          <w:kern w:val="2"/>
        </w:rPr>
        <w:t xml:space="preserve">7 </w:t>
      </w:r>
      <w:r>
        <w:rPr>
          <w:rFonts w:hint="eastAsia"/>
          <w:kern w:val="2"/>
        </w:rPr>
        <w:t>结论</w:t>
      </w:r>
      <w:r>
        <w:tab/>
      </w:r>
      <w:r>
        <w:fldChar w:fldCharType="begin"/>
      </w:r>
      <w:r>
        <w:instrText xml:space="preserve"> PAGEREF _Toc888 \h </w:instrText>
      </w:r>
      <w:r>
        <w:fldChar w:fldCharType="separate"/>
      </w:r>
      <w:r>
        <w:t>10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510"/>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lang w:val="en-US"/>
              </w:rPr>
            </w:pPr>
            <w:bookmarkStart w:id="12" w:name="工程名称"/>
            <w:r>
              <w:t>石家庄正定新区村民安置区（一）三里屯社区公建区-幼儿园</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056" w:type="dxa"/>
          </w:tcPr>
          <w:p>
            <w:pPr>
              <w:pStyle w:val="3"/>
              <w:rPr>
                <w:lang w:val="en-US"/>
              </w:rPr>
            </w:pPr>
            <w:r>
              <w:rPr>
                <w:rFonts w:hint="eastAsia"/>
                <w:lang w:val="en-US"/>
              </w:rPr>
              <w:t>地上3955.17    地下351.22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lang w:val="en-US"/>
              </w:rPr>
            </w:pPr>
            <w:r>
              <w:rPr>
                <w:rFonts w:hint="eastAsia"/>
                <w:lang w:val="en-US"/>
              </w:rPr>
              <w:t>地上</w:t>
            </w:r>
            <w:bookmarkStart w:id="13" w:name="地上建筑层数"/>
            <w:r>
              <w:rPr>
                <w:rFonts w:hint="eastAsia"/>
                <w:lang w:val="en-US"/>
              </w:rPr>
              <w:t>3</w:t>
            </w:r>
            <w:bookmarkEnd w:id="13"/>
            <w:r>
              <w:rPr>
                <w:rFonts w:hint="eastAsia"/>
                <w:lang w:val="en-US"/>
              </w:rPr>
              <w:t xml:space="preserve">        地下</w:t>
            </w:r>
            <w:bookmarkStart w:id="14" w:name="地下建筑层数"/>
            <w:r>
              <w:t>1</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lang w:val="en-US"/>
              </w:rPr>
            </w:pPr>
            <w:r>
              <w:rPr>
                <w:rFonts w:hint="eastAsia"/>
                <w:lang w:val="en-US"/>
              </w:rPr>
              <w:t xml:space="preserve">地上11.85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lang w:val="en-US"/>
              </w:rPr>
            </w:pPr>
            <w:bookmarkStart w:id="15" w:name="北向角度"/>
            <w:r>
              <w:t>113</w:t>
            </w:r>
            <w:bookmarkEnd w:id="15"/>
          </w:p>
        </w:tc>
      </w:tr>
    </w:tbl>
    <w:p>
      <w:pPr>
        <w:pStyle w:val="2"/>
        <w:ind w:left="669" w:hanging="669"/>
      </w:pPr>
      <w:bookmarkStart w:id="16" w:name="围护结构概况"/>
      <w:bookmarkEnd w:id="16"/>
      <w:bookmarkStart w:id="17" w:name="单体模型观察图"/>
      <w:bookmarkEnd w:id="17"/>
      <w:bookmarkStart w:id="18" w:name="_Toc17799"/>
      <w:bookmarkStart w:id="61" w:name="_GoBack"/>
      <w:bookmarkEnd w:id="61"/>
      <w:r>
        <w:rPr>
          <w:rFonts w:hint="eastAsia"/>
        </w:rPr>
        <w:t>评价依据</w:t>
      </w:r>
      <w:bookmarkEnd w:id="18"/>
    </w:p>
    <w:p>
      <w:pPr>
        <w:pStyle w:val="3"/>
        <w:numPr>
          <w:ilvl w:val="0"/>
          <w:numId w:val="2"/>
        </w:numPr>
        <w:rPr>
          <w:lang w:val="en-US"/>
        </w:rPr>
      </w:pPr>
      <w:bookmarkStart w:id="19" w:name="标准名称1"/>
      <w:r>
        <w:t>《绿色建筑评价标准》（京津冀）DB11/T 825-2021</w:t>
      </w:r>
      <w:bookmarkEnd w:id="19"/>
    </w:p>
    <w:p>
      <w:pPr>
        <w:pStyle w:val="3"/>
        <w:numPr>
          <w:ilvl w:val="0"/>
          <w:numId w:val="2"/>
        </w:numPr>
        <w:rPr>
          <w:lang w:val="en-US"/>
        </w:rPr>
      </w:pPr>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0" w:name="_Toc11232"/>
      <w:r>
        <w:rPr>
          <w:rFonts w:hint="eastAsia"/>
        </w:rPr>
        <w:t>标准</w:t>
      </w:r>
      <w:r>
        <w:t>要求</w:t>
      </w:r>
      <w:bookmarkEnd w:id="20"/>
    </w:p>
    <w:p>
      <w:pPr>
        <w:pStyle w:val="3"/>
        <w:ind w:firstLine="420" w:firstLineChars="200"/>
      </w:pPr>
      <w:bookmarkStart w:id="21" w:name="标准名称3"/>
      <w:r>
        <w:rPr>
          <w:rFonts w:hint="eastAsia"/>
        </w:rPr>
        <w:t>《绿色建筑评价标准》（京津冀）DB11/T 825-2021</w:t>
      </w:r>
      <w:bookmarkEnd w:id="21"/>
      <w:r>
        <w:rPr>
          <w:rFonts w:hint="eastAsia"/>
        </w:rPr>
        <w:t>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left="360"/>
      </w:pPr>
      <w:bookmarkStart w:id="22" w:name="室内构件隔声条文内容1"/>
      <w:bookmarkEnd w:id="22"/>
      <w:r>
        <w:t>5.2.7 主要功能房间的隔声性能良好，评价总分值为 10 分，并按下列规则分别评分并累计：</w:t>
      </w:r>
    </w:p>
    <w:p>
      <w:pPr>
        <w:pStyle w:val="3"/>
        <w:ind w:left="360"/>
      </w:pPr>
      <w:r>
        <w:t xml:space="preserve">    1 构件及相邻房间之间的空气声隔声性能达到现行国家标准《民用建筑隔声设计规范》 GB 50118 中的低限标准限值和高要求标准限值的平均值，得3 分；达到高要求标准限值，得 5 分；</w:t>
      </w:r>
    </w:p>
    <w:p>
      <w:pPr>
        <w:pStyle w:val="3"/>
        <w:ind w:left="360"/>
      </w:pPr>
      <w:r>
        <w:t xml:space="preserve">    2 楼板的撞击声隔声性能达到现行国家标准《民用建筑隔声设计规范》GB 50118 中的低限标准限值和高要求标准限值的平均值，得 3 分；达到高要求标准限值，得 5 分。</w:t>
      </w:r>
    </w:p>
    <w:p>
      <w:pPr>
        <w:pStyle w:val="2"/>
        <w:ind w:left="669" w:hanging="669"/>
        <w:rPr>
          <w:kern w:val="2"/>
        </w:rPr>
      </w:pPr>
      <w:bookmarkStart w:id="23" w:name="_Toc32125"/>
      <w:bookmarkStart w:id="24" w:name="_Toc438716944"/>
      <w:r>
        <w:rPr>
          <w:rFonts w:hint="eastAsia"/>
          <w:kern w:val="2"/>
        </w:rPr>
        <w:t>隔声理论概述</w:t>
      </w:r>
      <w:bookmarkEnd w:id="23"/>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18204"/>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4.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03"/>
      <w:bookmarkStart w:id="27" w:name="_Toc503275877"/>
      <w:bookmarkStart w:id="28" w:name="_Toc503800668"/>
      <w:bookmarkStart w:id="29" w:name="_Toc2443"/>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5194"/>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jc w:val="center"/>
        <w:rPr>
          <w:color w:val="FF0000"/>
        </w:rP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11794"/>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75pt;width:17.2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7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2.75pt;width:12.7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rPr>
        <w:t>计权规范化撞击声压级是表征构件撞击声隔声性能的单值评价量，满足不利偏差要求的最小值再减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7.25pt;width:18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75pt;width:12.75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ind w:right="18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25116"/>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3" w:name="_Toc29581"/>
      <w:r>
        <w:rPr>
          <w:rFonts w:hint="eastAsia"/>
        </w:rPr>
        <w:t>构件空气声隔声性能</w:t>
      </w:r>
      <w:bookmarkEnd w:id="33"/>
    </w:p>
    <w:p>
      <w:pPr>
        <w:pStyle w:val="4"/>
      </w:pPr>
      <w:bookmarkStart w:id="34" w:name="_Toc24960"/>
      <w:r>
        <w:rPr>
          <w:rFonts w:hint="eastAsia"/>
        </w:rPr>
        <w:t>墙板的空气声隔声量</w:t>
      </w:r>
      <w:bookmarkEnd w:id="34"/>
    </w:p>
    <w:p>
      <w:pPr>
        <w:pStyle w:val="5"/>
      </w:pPr>
      <w:bookmarkStart w:id="35" w:name="_Toc28676"/>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抗裂砂浆</w:t>
            </w:r>
          </w:p>
        </w:tc>
        <w:tc>
          <w:tcPr>
            <w:vAlign w:val="center"/>
          </w:tcPr>
          <w:p>
            <w:pPr>
              <w:jc w:val="center"/>
            </w:pPr>
            <w:r>
              <w:t>10</w:t>
            </w:r>
          </w:p>
        </w:tc>
        <w:tc>
          <w:tcPr>
            <w:vAlign w:val="center"/>
          </w:tcPr>
          <w:p>
            <w:pPr>
              <w:jc w:val="center"/>
            </w:pPr>
            <w:r>
              <w:t>1800</w:t>
            </w:r>
          </w:p>
        </w:tc>
        <w:tc>
          <w:tcPr>
            <w:vAlign w:val="center"/>
          </w:tcPr>
          <w:p>
            <w:pPr>
              <w:jc w:val="center"/>
            </w:pPr>
            <w:r>
              <w:t>18</w:t>
            </w:r>
          </w:p>
        </w:tc>
        <w:tc>
          <w:tcPr>
            <w:vMerge w:val="restart"/>
            <w:vAlign w:val="center"/>
          </w:tcPr>
          <w:p>
            <w:pPr>
              <w:jc w:val="center"/>
            </w:pPr>
            <w:r>
              <w:t>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玻化微珠保温砂浆</w:t>
            </w:r>
          </w:p>
        </w:tc>
        <w:tc>
          <w:tcPr>
            <w:vAlign w:val="center"/>
          </w:tcPr>
          <w:p>
            <w:pPr>
              <w:jc w:val="center"/>
            </w:pPr>
            <w:r>
              <w:t>10</w:t>
            </w:r>
          </w:p>
        </w:tc>
        <w:tc>
          <w:tcPr>
            <w:vAlign w:val="center"/>
          </w:tcPr>
          <w:p>
            <w:pPr>
              <w:jc w:val="center"/>
            </w:pPr>
            <w:r>
              <w:t>300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蒸压轻质砂加气混凝土砌块</w:t>
            </w:r>
          </w:p>
        </w:tc>
        <w:tc>
          <w:tcPr>
            <w:vAlign w:val="center"/>
          </w:tcPr>
          <w:p>
            <w:pPr>
              <w:jc w:val="center"/>
            </w:pPr>
            <w:r>
              <w:t>370</w:t>
            </w:r>
          </w:p>
        </w:tc>
        <w:tc>
          <w:tcPr>
            <w:vAlign w:val="center"/>
          </w:tcPr>
          <w:p>
            <w:pPr>
              <w:jc w:val="center"/>
            </w:pPr>
            <w:r>
              <w:t>1000</w:t>
            </w:r>
          </w:p>
        </w:tc>
        <w:tc>
          <w:tcPr>
            <w:vAlign w:val="center"/>
          </w:tcPr>
          <w:p>
            <w:pPr>
              <w:jc w:val="center"/>
            </w:pPr>
            <w:r>
              <w:t>370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隔墙3</w:t>
            </w: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restart"/>
            <w:vAlign w:val="center"/>
          </w:tcPr>
          <w:p>
            <w:pPr>
              <w:jc w:val="center"/>
            </w:pPr>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pPr>
              <w:jc w:val="center"/>
            </w:pPr>
            <w:r>
              <w:t>20</w:t>
            </w:r>
          </w:p>
        </w:tc>
        <w:tc>
          <w:tcPr>
            <w:vAlign w:val="center"/>
          </w:tcPr>
          <w:p>
            <w:pPr>
              <w:jc w:val="center"/>
            </w:pPr>
            <w:r>
              <w:t>1700</w:t>
            </w:r>
          </w:p>
        </w:tc>
        <w:tc>
          <w:tcPr>
            <w:vAlign w:val="center"/>
          </w:tcPr>
          <w:p>
            <w:pPr>
              <w:jc w:val="center"/>
            </w:pPr>
            <w:r>
              <w:t>34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c20细石混凝土(ρ=2300)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531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pPr>
              <w:jc w:val="center"/>
            </w:pPr>
            <w:r>
              <w:t>80</w:t>
            </w:r>
          </w:p>
        </w:tc>
        <w:tc>
          <w:tcPr>
            <w:vAlign w:val="center"/>
          </w:tcPr>
          <w:p>
            <w:pPr>
              <w:jc w:val="center"/>
            </w:pPr>
            <w:r>
              <w:t>30</w:t>
            </w:r>
          </w:p>
        </w:tc>
        <w:tc>
          <w:tcPr>
            <w:vAlign w:val="center"/>
          </w:tcPr>
          <w:p>
            <w:pPr>
              <w:jc w:val="center"/>
            </w:pPr>
            <w:r>
              <w:t>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c20细石混凝土(ρ=2300)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c20细石混凝土(ρ=2300)</w:t>
            </w:r>
          </w:p>
        </w:tc>
        <w:tc>
          <w:tcPr>
            <w:vAlign w:val="center"/>
          </w:tcPr>
          <w:p>
            <w:pPr>
              <w:jc w:val="center"/>
            </w:pPr>
            <w:r>
              <w:t>60</w:t>
            </w:r>
          </w:p>
        </w:tc>
        <w:tc>
          <w:tcPr>
            <w:vAlign w:val="center"/>
          </w:tcPr>
          <w:p>
            <w:pPr>
              <w:jc w:val="center"/>
            </w:pPr>
            <w:r>
              <w:t>2300</w:t>
            </w:r>
          </w:p>
        </w:tc>
        <w:tc>
          <w:tcPr>
            <w:vAlign w:val="center"/>
          </w:tcPr>
          <w:p>
            <w:pPr>
              <w:jc w:val="center"/>
            </w:pPr>
            <w:r>
              <w:t>138</w:t>
            </w:r>
          </w:p>
        </w:tc>
        <w:tc>
          <w:tcPr>
            <w:vMerge w:val="restart"/>
            <w:vAlign w:val="center"/>
          </w:tcPr>
          <w:p>
            <w:pPr>
              <w:jc w:val="center"/>
            </w:pPr>
            <w:r>
              <w:t>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w:t>
            </w:r>
          </w:p>
        </w:tc>
        <w:tc>
          <w:tcPr>
            <w:vAlign w:val="center"/>
          </w:tcPr>
          <w:p>
            <w:pPr>
              <w:jc w:val="center"/>
            </w:pPr>
            <w:r>
              <w:t>20</w:t>
            </w:r>
          </w:p>
        </w:tc>
        <w:tc>
          <w:tcPr>
            <w:vAlign w:val="center"/>
          </w:tcPr>
          <w:p>
            <w:pPr>
              <w:jc w:val="center"/>
            </w:pPr>
            <w:r>
              <w:t>30</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抗裂砂浆</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岩棉条</w:t>
            </w:r>
          </w:p>
        </w:tc>
        <w:tc>
          <w:tcPr>
            <w:vAlign w:val="center"/>
          </w:tcPr>
          <w:p>
            <w:pPr>
              <w:jc w:val="center"/>
            </w:pPr>
            <w:r>
              <w:t>100</w:t>
            </w:r>
          </w:p>
        </w:tc>
        <w:tc>
          <w:tcPr>
            <w:vAlign w:val="center"/>
          </w:tcPr>
          <w:p>
            <w:pPr>
              <w:jc w:val="center"/>
            </w:pPr>
            <w:r>
              <w:t>100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抗裂砂浆</w:t>
            </w:r>
          </w:p>
        </w:tc>
        <w:tc>
          <w:tcPr>
            <w:vAlign w:val="center"/>
          </w:tcPr>
          <w:p>
            <w:pPr>
              <w:jc w:val="center"/>
            </w:pPr>
            <w:r>
              <w:t>3</w:t>
            </w:r>
          </w:p>
        </w:tc>
        <w:tc>
          <w:tcPr>
            <w:vAlign w:val="center"/>
          </w:tcPr>
          <w:p>
            <w:pPr>
              <w:jc w:val="center"/>
            </w:pPr>
            <w:r>
              <w:t>1800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玻化微珠保温砂浆</w:t>
            </w:r>
          </w:p>
        </w:tc>
        <w:tc>
          <w:tcPr>
            <w:vAlign w:val="center"/>
          </w:tcPr>
          <w:p>
            <w:pPr>
              <w:jc w:val="center"/>
            </w:pPr>
            <w:r>
              <w:t>10</w:t>
            </w:r>
          </w:p>
        </w:tc>
        <w:tc>
          <w:tcPr>
            <w:vAlign w:val="center"/>
          </w:tcPr>
          <w:p>
            <w:pPr>
              <w:jc w:val="center"/>
            </w:pPr>
            <w:r>
              <w:t>300</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5</w:t>
            </w:r>
          </w:p>
        </w:tc>
        <w:tc>
          <w:tcPr>
            <w:vAlign w:val="center"/>
          </w:tcPr>
          <w:p>
            <w:pPr>
              <w:jc w:val="center"/>
            </w:pPr>
            <w:r>
              <w:t>1800</w:t>
            </w:r>
          </w:p>
        </w:tc>
        <w:tc>
          <w:tcPr>
            <w:vAlign w:val="center"/>
          </w:tcPr>
          <w:p>
            <w:pPr>
              <w:jc w:val="center"/>
            </w:pPr>
            <w:r>
              <w:t>9</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15823"/>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 xml:space="preserve"> 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bookmarkStart w:id="43" w:name="公式C2"/>
      <w:r>
        <w:t>-18</w:t>
      </w:r>
      <w:bookmarkEnd w:id="43"/>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抗裂砂浆 10mm＋玻化微珠保温砂浆 10mm＋蒸压轻质砂加气混凝土砌块 370mm＋石灰砂浆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42.5</w:t>
            </w:r>
          </w:p>
        </w:tc>
        <w:tc>
          <w:tcPr>
            <w:vAlign w:val="center"/>
          </w:tcPr>
          <w:p>
            <w:r>
              <w:t>45.8</w:t>
            </w:r>
          </w:p>
        </w:tc>
        <w:tc>
          <w:tcPr>
            <w:vAlign w:val="center"/>
          </w:tcPr>
          <w:p>
            <w:r>
              <w:t>49.1</w:t>
            </w:r>
          </w:p>
        </w:tc>
        <w:tc>
          <w:tcPr>
            <w:vAlign w:val="center"/>
          </w:tcPr>
          <w:p>
            <w:r>
              <w:t>52.4</w:t>
            </w:r>
          </w:p>
        </w:tc>
        <w:tc>
          <w:tcPr>
            <w:vAlign w:val="center"/>
          </w:tcPr>
          <w:p>
            <w:r>
              <w:t>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0.2</w:t>
            </w:r>
          </w:p>
        </w:tc>
        <w:tc>
          <w:tcPr>
            <w:vAlign w:val="center"/>
          </w:tcPr>
          <w:p>
            <w:r>
              <w:t>3.9</w:t>
            </w:r>
          </w:p>
        </w:tc>
        <w:tc>
          <w:tcPr>
            <w:vAlign w:val="center"/>
          </w:tcPr>
          <w:p>
            <w:r>
              <w:t>3.6</w:t>
            </w:r>
          </w:p>
        </w:tc>
        <w:tc>
          <w:tcPr>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3"/>
        <w:rPr>
          <w:lang w:val="en-US"/>
        </w:rPr>
      </w:pPr>
    </w:p>
    <w:p>
      <w:pPr>
        <w:pStyle w:val="4"/>
      </w:pPr>
      <w:bookmarkStart w:id="45" w:name="_Toc8474"/>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木门</w:t>
            </w:r>
            <w:r>
              <w:br w:type="textWrapping"/>
            </w:r>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60系列断桥铝合金中空玻璃6+12A+6LowE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23.0</w:t>
            </w:r>
          </w:p>
        </w:tc>
        <w:tc>
          <w:tcPr>
            <w:vAlign w:val="center"/>
          </w:tcPr>
          <w:p>
            <w:r>
              <w:t>31.0</w:t>
            </w:r>
          </w:p>
        </w:tc>
        <w:tc>
          <w:tcPr>
            <w:vAlign w:val="center"/>
          </w:tcPr>
          <w:p>
            <w:r>
              <w:t>35.0</w:t>
            </w:r>
          </w:p>
        </w:tc>
        <w:tc>
          <w:tcPr>
            <w:vAlign w:val="center"/>
          </w:tcPr>
          <w:p>
            <w:r>
              <w:t>36.0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5.0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6" w:name="门窗空气声隔声量"/>
      <w:bookmarkEnd w:id="46"/>
    </w:p>
    <w:p>
      <w:pPr>
        <w:pStyle w:val="2"/>
        <w:ind w:left="669" w:hanging="669"/>
      </w:pPr>
      <w:bookmarkStart w:id="47" w:name="_Toc10020"/>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8" w:name="撞击声隔声"/>
      <w:bookmarkEnd w:id="48"/>
      <w:r>
        <w:rPr>
          <w:lang w:val="en-US"/>
        </w:rPr>
        <w:t>本工程无此项评价</w:t>
      </w:r>
    </w:p>
    <w:bookmarkEnd w:id="24"/>
    <w:p>
      <w:pPr>
        <w:pStyle w:val="2"/>
        <w:ind w:left="669" w:hanging="669"/>
        <w:rPr>
          <w:kern w:val="2"/>
        </w:rPr>
      </w:pPr>
      <w:bookmarkStart w:id="49" w:name="_Toc888"/>
      <w:r>
        <w:rPr>
          <w:rFonts w:hint="eastAsia"/>
          <w:kern w:val="2"/>
        </w:rPr>
        <w:t>结论</w:t>
      </w:r>
      <w:bookmarkEnd w:id="49"/>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50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33</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33</w:t>
            </w:r>
          </w:p>
        </w:tc>
        <w:tc>
          <w:tcPr>
            <w:vAlign w:val="center"/>
          </w:tcPr>
          <w:p>
            <w:r>
              <w:t>低限:≥25,高要求:≥30</w:t>
            </w:r>
          </w:p>
        </w:tc>
        <w:tc>
          <w:tcPr>
            <w:vAlign w:val="center"/>
          </w:tcPr>
          <w:p>
            <w:r>
              <w:rPr>
                <w:b/>
              </w:rPr>
              <w:t>满足高要求</w:t>
            </w:r>
          </w:p>
        </w:tc>
      </w:tr>
    </w:tbl>
    <w:p>
      <w:bookmarkStart w:id="50" w:name="构件隔声性能统计"/>
      <w:bookmarkEnd w:id="50"/>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1" w:name="撞击声隔声性能统计"/>
      <w:bookmarkEnd w:id="51"/>
      <w:r>
        <w:t>本工程无此项评价</w:t>
      </w:r>
    </w:p>
    <w:p>
      <w:pPr>
        <w:pStyle w:val="3"/>
        <w:rPr>
          <w:rFonts w:ascii="宋体" w:hAnsi="宋体"/>
        </w:rPr>
      </w:pPr>
      <w:r>
        <w:rPr>
          <w:rFonts w:hint="eastAsia" w:ascii="宋体" w:hAnsi="宋体"/>
        </w:rPr>
        <w:t xml:space="preserve">    综上，根据</w:t>
      </w:r>
      <w:bookmarkStart w:id="52" w:name="标准名称2"/>
      <w:r>
        <w:t>《绿色建筑评价标准》（京津冀）DB11/T 825-2021</w:t>
      </w:r>
      <w:bookmarkEnd w:id="52"/>
      <w:r>
        <w:rPr>
          <w:rFonts w:hint="eastAsia" w:ascii="宋体" w:hAnsi="宋体"/>
        </w:rPr>
        <w:t>、《绿色建筑评</w:t>
      </w:r>
      <w:r>
        <w:t>价标准》GB/T50378-2019和《民用建筑隔声设计规范》GB50118-2010评价要求，可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3" w:name="空气声控制项结论"/>
            <w:r>
              <w:rPr>
                <w:rFonts w:hint="eastAsia"/>
                <w:lang w:val="en-US"/>
              </w:rPr>
              <w:t>满足</w:t>
            </w:r>
            <w:bookmarkEnd w:id="53"/>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bookmarkStart w:id="54" w:name="室内空气声条文内容"/>
            <w:bookmarkEnd w:id="54"/>
            <w:r>
              <w:rPr>
                <w:sz w:val="18"/>
                <w:szCs w:val="18"/>
              </w:rPr>
              <w:t>5.2.7 构件及相邻房间之间的空气声隔声性能达到现行国家标准《民用建筑隔声设计规范》 GB 50118 中的低限标准限值和高要求标准限值的平均值，得 3 分；达到高要求标准限值，得 5 分；</w:t>
            </w:r>
          </w:p>
        </w:tc>
        <w:tc>
          <w:tcPr>
            <w:tcW w:w="1381" w:type="dxa"/>
            <w:vAlign w:val="center"/>
          </w:tcPr>
          <w:p>
            <w:pPr>
              <w:jc w:val="center"/>
              <w:rPr>
                <w:lang w:val="en-US"/>
              </w:rPr>
            </w:pPr>
            <w:bookmarkStart w:id="55" w:name="空气声评分项结论"/>
            <w:r>
              <w:rPr>
                <w:rFonts w:hint="eastAsia"/>
                <w:lang w:val="en-US"/>
              </w:rPr>
              <w:t>满足高要求</w:t>
            </w:r>
            <w:bookmarkEnd w:id="55"/>
          </w:p>
        </w:tc>
        <w:tc>
          <w:tcPr>
            <w:tcW w:w="737" w:type="dxa"/>
            <w:vAlign w:val="center"/>
          </w:tcPr>
          <w:p>
            <w:pPr>
              <w:jc w:val="center"/>
              <w:rPr>
                <w:b/>
                <w:bCs/>
                <w:lang w:val="en-US"/>
              </w:rPr>
            </w:pPr>
            <w:bookmarkStart w:id="56" w:name="空气声得分"/>
            <w:r>
              <w:rPr>
                <w:rFonts w:hint="eastAsia"/>
                <w:b/>
                <w:bCs/>
                <w:lang w:val="en-US"/>
              </w:rPr>
              <w:t>5</w:t>
            </w:r>
            <w:bookmarkEnd w:id="5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7" w:name="撞击声控制项结论"/>
            <w:r>
              <w:rPr>
                <w:rFonts w:hint="eastAsia"/>
                <w:lang w:val="en-US"/>
              </w:rPr>
              <w:t>本工程无此项评价</w:t>
            </w:r>
            <w:bookmarkEnd w:id="57"/>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bookmarkStart w:id="58" w:name="室内撞击声条文内容"/>
            <w:bookmarkEnd w:id="58"/>
            <w:r>
              <w:rPr>
                <w:sz w:val="18"/>
                <w:szCs w:val="18"/>
              </w:rPr>
              <w:t>5.2.7 楼板的撞击声隔声性能达到现行国家标准《民用建筑隔声设计规范》GB 50118 中的低限标准限值和高要求标准限值的平均值，得 3 分；达到高要求标准限值，得 5 分。</w:t>
            </w:r>
          </w:p>
        </w:tc>
        <w:tc>
          <w:tcPr>
            <w:tcW w:w="1381" w:type="dxa"/>
            <w:vAlign w:val="center"/>
          </w:tcPr>
          <w:p>
            <w:pPr>
              <w:jc w:val="center"/>
              <w:rPr>
                <w:lang w:val="en-US"/>
              </w:rPr>
            </w:pPr>
            <w:bookmarkStart w:id="59" w:name="撞击声评分项结论"/>
            <w:r>
              <w:rPr>
                <w:rFonts w:hint="eastAsia"/>
                <w:lang w:val="en-US"/>
              </w:rPr>
              <w:t>本工程无此项评价</w:t>
            </w:r>
            <w:bookmarkEnd w:id="59"/>
          </w:p>
        </w:tc>
        <w:tc>
          <w:tcPr>
            <w:tcW w:w="737" w:type="dxa"/>
            <w:vAlign w:val="center"/>
          </w:tcPr>
          <w:p>
            <w:pPr>
              <w:jc w:val="center"/>
              <w:rPr>
                <w:b/>
                <w:bCs/>
                <w:lang w:val="en-US"/>
              </w:rPr>
            </w:pPr>
            <w:bookmarkStart w:id="60" w:name="撞击声得分"/>
            <w:r>
              <w:rPr>
                <w:rFonts w:hint="eastAsia"/>
                <w:b/>
                <w:bCs/>
                <w:lang w:val="en-US"/>
              </w:rPr>
              <w:t>--</w:t>
            </w:r>
            <w:bookmarkEnd w:id="60"/>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0NzdlMzQ2MjI2MGI5YzU1ZWE5OTcxNjBlMTdkMzAifQ=="/>
  </w:docVars>
  <w:rsids>
    <w:rsidRoot w:val="1E02146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643A"/>
    <w:rsid w:val="004813EC"/>
    <w:rsid w:val="00483102"/>
    <w:rsid w:val="004852CE"/>
    <w:rsid w:val="00485717"/>
    <w:rsid w:val="00485EC1"/>
    <w:rsid w:val="00491102"/>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4203"/>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67958"/>
    <w:rsid w:val="00C7287B"/>
    <w:rsid w:val="00C732DD"/>
    <w:rsid w:val="00C740F7"/>
    <w:rsid w:val="00C753F3"/>
    <w:rsid w:val="00C762AC"/>
    <w:rsid w:val="00C77B6E"/>
    <w:rsid w:val="00C80797"/>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48DF"/>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 w:val="1E02146D"/>
    <w:rsid w:val="7B10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E6B24-B40C-4102-85BE-34A7EF50B721}">
  <ds:schemaRefs/>
</ds:datastoreItem>
</file>

<file path=docProps/app.xml><?xml version="1.0" encoding="utf-8"?>
<Properties xmlns="http://schemas.openxmlformats.org/officeDocument/2006/extended-properties" xmlns:vt="http://schemas.openxmlformats.org/officeDocument/2006/docPropsVTypes">
  <Template>tmp1.dotx</Template>
  <Pages>11</Pages>
  <Words>4693</Words>
  <Characters>5634</Characters>
  <Lines>36</Lines>
  <Paragraphs>10</Paragraphs>
  <TotalTime>0</TotalTime>
  <ScaleCrop>false</ScaleCrop>
  <LinksUpToDate>false</LinksUpToDate>
  <CharactersWithSpaces>6070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2022-09-05T03:53:00Z</dcterms:created>
  <dc:creator>Administrator</dc:creator>
  <cp:lastModifiedBy>Administrator</cp:lastModifiedBy>
  <dcterms:modified xsi:type="dcterms:W3CDTF">2022-09-16T08:31:12Z</dcterms:modified>
  <dc:title>建筑构件隔声设计报告书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BF11B4F5BB964EDEA86CBC1DA9B4B220</vt:lpwstr>
  </property>
  <property fmtid="{D5CDD505-2E9C-101B-9397-08002B2CF9AE}" pid="3" name="KSOProductBuildVer">
    <vt:lpwstr>2052-11.1.0.12019</vt:lpwstr>
  </property>
</Properties>
</file>