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jc w:val="center"/>
        <w:rPr>
          <w:rFonts w:ascii="黑体" w:hAnsi="宋体" w:eastAsia="黑体"/>
          <w:b/>
          <w:bCs/>
          <w:sz w:val="72"/>
          <w:szCs w:val="72"/>
        </w:rPr>
      </w:pPr>
    </w:p>
    <w:p>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商业建筑</w:t>
      </w:r>
      <w:bookmarkEnd w:id="0"/>
    </w:p>
    <w:p>
      <w:pPr>
        <w:spacing w:line="180" w:lineRule="atLeast"/>
        <w:jc w:val="center"/>
        <w:rPr>
          <w:rFonts w:ascii="宋体" w:hAnsi="宋体"/>
          <w:b/>
          <w:bCs/>
          <w:sz w:val="36"/>
          <w:szCs w:val="36"/>
          <w:lang w:val="en-US"/>
        </w:rPr>
      </w:pPr>
      <w:bookmarkStart w:id="1" w:name="二维码"/>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pPr>
              <w:pStyle w:val="17"/>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6"/>
              <w:tabs>
                <w:tab w:val="left" w:pos="420"/>
              </w:tabs>
              <w:snapToGrid/>
              <w:jc w:val="center"/>
              <w:rPr>
                <w:szCs w:val="21"/>
              </w:rPr>
            </w:pPr>
            <w:bookmarkStart w:id="2" w:name="项目名称"/>
            <w:bookmarkEnd w:id="2"/>
            <w:r>
              <w:rPr>
                <w:rFonts w:hint="eastAsia"/>
              </w:rPr>
              <w:t>侨城滨江郦景小区S3#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center"/>
              <w:rPr>
                <w:szCs w:val="21"/>
              </w:rPr>
            </w:pPr>
            <w:r>
              <w:rPr>
                <w:rFonts w:hint="eastAsia"/>
              </w:rPr>
              <w:t>保定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center"/>
              <w:rPr>
                <w:szCs w:val="21"/>
              </w:rPr>
            </w:pPr>
            <w:bookmarkStart w:id="3" w:name="设计编号"/>
            <w:bookmarkEnd w:id="3"/>
            <w:r>
              <w:rPr>
                <w:szCs w:val="21"/>
              </w:rPr>
              <w:t>BD-2021-7-S3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jc w:val="center"/>
              <w:rPr>
                <w:szCs w:val="21"/>
              </w:rPr>
            </w:pPr>
            <w:bookmarkStart w:id="4" w:name="建设单位"/>
            <w:bookmarkEnd w:id="4"/>
            <w:r>
              <w:rPr>
                <w:rFonts w:hint="eastAsia"/>
              </w:rPr>
              <w:t>涿州侨城惠房地产开发有限公司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jc w:val="center"/>
              <w:rPr>
                <w:szCs w:val="21"/>
              </w:rPr>
            </w:pPr>
            <w:bookmarkStart w:id="5" w:name="设计单位"/>
            <w:bookmarkEnd w:id="5"/>
            <w:r>
              <w:rPr>
                <w:rFonts w:hint="eastAsia"/>
              </w:rPr>
              <w:t>中冀轩辕建设科技有限公司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jc w:val="center"/>
              <w:rPr>
                <w:szCs w:val="21"/>
              </w:rPr>
            </w:pPr>
            <w:r>
              <w:rPr>
                <w:rFonts w:hint="eastAsia"/>
                <w:szCs w:val="21"/>
              </w:rPr>
              <w:t>田兴华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jc w:val="center"/>
              <w:rPr>
                <w:szCs w:val="21"/>
              </w:rPr>
            </w:pPr>
            <w:r>
              <w:rPr>
                <w:rFonts w:hint="eastAsia"/>
                <w:szCs w:val="21"/>
              </w:rPr>
              <w:t>候入园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jc w:val="center"/>
              <w:rPr>
                <w:szCs w:val="21"/>
              </w:rPr>
            </w:pPr>
            <w:r>
              <w:rPr>
                <w:rFonts w:hint="eastAsia"/>
                <w:szCs w:val="21"/>
              </w:rPr>
              <w:t>胡方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jc w:val="center"/>
              <w:rPr>
                <w:szCs w:val="21"/>
              </w:rPr>
            </w:pPr>
            <w:r>
              <w:rPr>
                <w:rFonts w:hint="eastAsia"/>
                <w:szCs w:val="21"/>
              </w:rPr>
              <w:t>赵利君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jc w:val="center"/>
              <w:rPr>
                <w:rFonts w:ascii="宋体" w:hAnsi="宋体"/>
                <w:szCs w:val="21"/>
              </w:rPr>
            </w:pPr>
            <w:r>
              <w:rPr>
                <w:szCs w:val="21"/>
              </w:rPr>
              <w:t>2021</w:t>
            </w:r>
            <w:r>
              <w:rPr>
                <w:rFonts w:hint="eastAsia"/>
                <w:szCs w:val="21"/>
              </w:rPr>
              <w:t>年</w:t>
            </w:r>
            <w:r>
              <w:rPr>
                <w:szCs w:val="21"/>
              </w:rPr>
              <w:t>06</w:t>
            </w:r>
            <w:r>
              <w:rPr>
                <w:rFonts w:hint="eastAsia"/>
                <w:szCs w:val="21"/>
              </w:rPr>
              <w:t>月</w:t>
            </w:r>
          </w:p>
        </w:tc>
      </w:tr>
    </w:tbl>
    <w:p>
      <w:pPr>
        <w:spacing w:line="240" w:lineRule="auto"/>
        <w:rPr>
          <w:rFonts w:ascii="宋体" w:hAnsi="宋体"/>
          <w:lang w:val="en-US"/>
        </w:rPr>
      </w:pPr>
    </w:p>
    <w:p>
      <w:pPr>
        <w:jc w:val="center"/>
        <w:rPr>
          <w:rFonts w:ascii="宋体" w:hAnsi="宋体"/>
          <w:lang w:val="en-US"/>
        </w:rPr>
      </w:pPr>
      <w:bookmarkStart w:id="58" w:name="_GoBack"/>
      <w:bookmarkEnd w:id="58"/>
      <w:r>
        <w:drawing>
          <wp:inline distT="0" distB="0" distL="0" distR="0">
            <wp:extent cx="1514475" cy="15144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1"/>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6" w:name="软件全称"/>
            <w:r>
              <w:rPr>
                <w:rFonts w:hint="eastAsia"/>
              </w:rPr>
              <w:t>建筑声环境SEDU2023</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7" w:name="软件版本"/>
            <w:r>
              <w:rPr>
                <w:rFonts w:hint="eastAsia"/>
              </w:rPr>
              <w:t>20220401</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8" w:name="加密锁号"/>
            <w:r>
              <w:rPr>
                <w:rFonts w:hint="eastAsia"/>
              </w:rPr>
              <w:t>T18103126656</w:t>
            </w:r>
            <w:bookmarkEnd w:id="8"/>
            <w:r>
              <w:rPr>
                <w:rFonts w:hint="eastAsia"/>
              </w:rPr>
              <w:t xml:space="preserve"> </w:t>
            </w:r>
          </w:p>
        </w:tc>
      </w:tr>
    </w:tbl>
    <w:p>
      <w:pPr>
        <w:pStyle w:val="3"/>
        <w:jc w:val="center"/>
      </w:pPr>
      <w:r>
        <w:br w:type="page"/>
      </w:r>
    </w:p>
    <w:p>
      <w:pPr>
        <w:pStyle w:val="3"/>
        <w:jc w:val="center"/>
      </w:pPr>
    </w:p>
    <w:p>
      <w:pPr>
        <w:pStyle w:val="3"/>
        <w:jc w:val="center"/>
        <w:rPr>
          <w:b/>
        </w:rPr>
      </w:pPr>
      <w:r>
        <w:rPr>
          <w:rFonts w:hint="eastAsia"/>
          <w:b/>
          <w:sz w:val="28"/>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9"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_Toc22030 </w:instrText>
      </w:r>
      <w:r>
        <w:rPr>
          <w:rFonts w:ascii="宋体" w:hAnsi="宋体"/>
          <w:caps/>
        </w:rPr>
        <w:fldChar w:fldCharType="separate"/>
      </w:r>
      <w:r>
        <w:t xml:space="preserve">1 </w:t>
      </w:r>
      <w:r>
        <w:rPr>
          <w:rFonts w:hint="eastAsia"/>
        </w:rPr>
        <w:t>建筑概况</w:t>
      </w:r>
      <w:r>
        <w:tab/>
      </w:r>
      <w:r>
        <w:fldChar w:fldCharType="begin"/>
      </w:r>
      <w:r>
        <w:instrText xml:space="preserve"> PAGEREF _Toc22030 \h </w:instrText>
      </w:r>
      <w:r>
        <w:fldChar w:fldCharType="separate"/>
      </w:r>
      <w:r>
        <w:t>3</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_Toc15682 </w:instrText>
      </w:r>
      <w:r>
        <w:fldChar w:fldCharType="separate"/>
      </w:r>
      <w:r>
        <w:t xml:space="preserve">2 </w:t>
      </w:r>
      <w:r>
        <w:rPr>
          <w:rFonts w:hint="eastAsia"/>
        </w:rPr>
        <w:t>评价依据</w:t>
      </w:r>
      <w:r>
        <w:tab/>
      </w:r>
      <w:r>
        <w:fldChar w:fldCharType="begin"/>
      </w:r>
      <w:r>
        <w:instrText xml:space="preserve"> PAGEREF _Toc15682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_Toc18668 </w:instrText>
      </w:r>
      <w:r>
        <w:fldChar w:fldCharType="separate"/>
      </w:r>
      <w:r>
        <w:t xml:space="preserve">3 </w:t>
      </w:r>
      <w:r>
        <w:rPr>
          <w:rFonts w:hint="eastAsia"/>
        </w:rPr>
        <w:t>标准</w:t>
      </w:r>
      <w:r>
        <w:t>要求</w:t>
      </w:r>
      <w:r>
        <w:tab/>
      </w:r>
      <w:r>
        <w:fldChar w:fldCharType="begin"/>
      </w:r>
      <w:r>
        <w:instrText xml:space="preserve"> PAGEREF _Toc18668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_Toc3207 </w:instrText>
      </w:r>
      <w:r>
        <w:fldChar w:fldCharType="separate"/>
      </w:r>
      <w:r>
        <w:rPr>
          <w:kern w:val="2"/>
        </w:rPr>
        <w:t xml:space="preserve">4 </w:t>
      </w:r>
      <w:r>
        <w:rPr>
          <w:rFonts w:hint="eastAsia"/>
          <w:kern w:val="2"/>
        </w:rPr>
        <w:t>隔声理论概述</w:t>
      </w:r>
      <w:r>
        <w:tab/>
      </w:r>
      <w:r>
        <w:fldChar w:fldCharType="begin"/>
      </w:r>
      <w:r>
        <w:instrText xml:space="preserve"> PAGEREF _Toc3207 \h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_Toc20127 </w:instrText>
      </w:r>
      <w:r>
        <w:fldChar w:fldCharType="separate"/>
      </w:r>
      <w:r>
        <w:t xml:space="preserve">4.1 </w:t>
      </w:r>
      <w:r>
        <w:rPr>
          <w:rFonts w:hint="eastAsia"/>
        </w:rPr>
        <w:t>原理概要</w:t>
      </w:r>
      <w:r>
        <w:tab/>
      </w:r>
      <w:r>
        <w:fldChar w:fldCharType="begin"/>
      </w:r>
      <w:r>
        <w:instrText xml:space="preserve"> PAGEREF _Toc20127 \h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_Toc24466 </w:instrText>
      </w:r>
      <w:r>
        <w:fldChar w:fldCharType="separate"/>
      </w:r>
      <w:r>
        <w:t xml:space="preserve">4.2 </w:t>
      </w:r>
      <w:r>
        <w:rPr>
          <w:rFonts w:hint="eastAsia"/>
        </w:rPr>
        <w:t>质量定律</w:t>
      </w:r>
      <w:r>
        <w:tab/>
      </w:r>
      <w:r>
        <w:fldChar w:fldCharType="begin"/>
      </w:r>
      <w:r>
        <w:instrText xml:space="preserve"> PAGEREF _Toc24466 \h </w:instrText>
      </w:r>
      <w:r>
        <w:fldChar w:fldCharType="separate"/>
      </w:r>
      <w:r>
        <w:t>5</w:t>
      </w:r>
      <w:r>
        <w:fldChar w:fldCharType="end"/>
      </w:r>
      <w:r>
        <w:fldChar w:fldCharType="end"/>
      </w:r>
    </w:p>
    <w:p>
      <w:pPr>
        <w:pStyle w:val="20"/>
        <w:tabs>
          <w:tab w:val="right" w:leader="dot" w:pos="9070"/>
          <w:tab w:val="clear" w:pos="540"/>
          <w:tab w:val="clear" w:pos="9360"/>
        </w:tabs>
      </w:pPr>
      <w:r>
        <w:fldChar w:fldCharType="begin"/>
      </w:r>
      <w:r>
        <w:instrText xml:space="preserve"> HYPERLINK \l _Toc27957 </w:instrText>
      </w:r>
      <w:r>
        <w:fldChar w:fldCharType="separate"/>
      </w:r>
      <w:r>
        <w:t>4.3 隔声</w:t>
      </w:r>
      <w:r>
        <w:rPr>
          <w:rFonts w:hint="eastAsia"/>
        </w:rPr>
        <w:t>量计算经验</w:t>
      </w:r>
      <w:r>
        <w:t>公式</w:t>
      </w:r>
      <w:r>
        <w:tab/>
      </w:r>
      <w:r>
        <w:fldChar w:fldCharType="begin"/>
      </w:r>
      <w:r>
        <w:instrText xml:space="preserve"> PAGEREF _Toc27957 \h </w:instrText>
      </w:r>
      <w:r>
        <w:fldChar w:fldCharType="separate"/>
      </w:r>
      <w:r>
        <w:t>5</w:t>
      </w:r>
      <w:r>
        <w:fldChar w:fldCharType="end"/>
      </w:r>
      <w:r>
        <w:fldChar w:fldCharType="end"/>
      </w:r>
    </w:p>
    <w:p>
      <w:pPr>
        <w:pStyle w:val="20"/>
        <w:tabs>
          <w:tab w:val="right" w:leader="dot" w:pos="9070"/>
          <w:tab w:val="clear" w:pos="540"/>
          <w:tab w:val="clear" w:pos="9360"/>
        </w:tabs>
      </w:pPr>
      <w:r>
        <w:fldChar w:fldCharType="begin"/>
      </w:r>
      <w:r>
        <w:instrText xml:space="preserve"> HYPERLINK \l _Toc28743 </w:instrText>
      </w:r>
      <w:r>
        <w:fldChar w:fldCharType="separate"/>
      </w:r>
      <w:r>
        <w:t xml:space="preserve">4.4 </w:t>
      </w:r>
      <w:r>
        <w:rPr>
          <w:rFonts w:hint="eastAsia"/>
        </w:rPr>
        <w:t>单值评价量</w:t>
      </w:r>
      <w:r>
        <w:tab/>
      </w:r>
      <w:r>
        <w:fldChar w:fldCharType="begin"/>
      </w:r>
      <w:r>
        <w:instrText xml:space="preserve"> PAGEREF _Toc28743 \h </w:instrText>
      </w:r>
      <w:r>
        <w:fldChar w:fldCharType="separate"/>
      </w:r>
      <w:r>
        <w:t>6</w:t>
      </w:r>
      <w:r>
        <w:fldChar w:fldCharType="end"/>
      </w:r>
      <w:r>
        <w:fldChar w:fldCharType="end"/>
      </w:r>
    </w:p>
    <w:p>
      <w:pPr>
        <w:pStyle w:val="20"/>
        <w:tabs>
          <w:tab w:val="right" w:leader="dot" w:pos="9070"/>
          <w:tab w:val="clear" w:pos="540"/>
          <w:tab w:val="clear" w:pos="9360"/>
        </w:tabs>
      </w:pPr>
      <w:r>
        <w:fldChar w:fldCharType="begin"/>
      </w:r>
      <w:r>
        <w:instrText xml:space="preserve"> HYPERLINK \l _Toc23249 </w:instrText>
      </w:r>
      <w:r>
        <w:fldChar w:fldCharType="separate"/>
      </w:r>
      <w:r>
        <w:t xml:space="preserve">4.5 </w:t>
      </w:r>
      <w:r>
        <w:rPr>
          <w:rFonts w:hint="eastAsia"/>
        </w:rPr>
        <w:t>频谱修正量</w:t>
      </w:r>
      <w:r>
        <w:tab/>
      </w:r>
      <w:r>
        <w:fldChar w:fldCharType="begin"/>
      </w:r>
      <w:r>
        <w:instrText xml:space="preserve"> PAGEREF _Toc23249 \h </w:instrText>
      </w:r>
      <w:r>
        <w:fldChar w:fldCharType="separate"/>
      </w:r>
      <w:r>
        <w:t>7</w:t>
      </w:r>
      <w:r>
        <w:fldChar w:fldCharType="end"/>
      </w:r>
      <w:r>
        <w:fldChar w:fldCharType="end"/>
      </w:r>
    </w:p>
    <w:p>
      <w:pPr>
        <w:pStyle w:val="18"/>
        <w:tabs>
          <w:tab w:val="right" w:leader="dot" w:pos="9070"/>
          <w:tab w:val="clear" w:pos="180"/>
          <w:tab w:val="clear" w:pos="9360"/>
        </w:tabs>
      </w:pPr>
      <w:r>
        <w:fldChar w:fldCharType="begin"/>
      </w:r>
      <w:r>
        <w:instrText xml:space="preserve"> HYPERLINK \l _Toc6368 </w:instrText>
      </w:r>
      <w:r>
        <w:fldChar w:fldCharType="separate"/>
      </w:r>
      <w:r>
        <w:t xml:space="preserve">5 </w:t>
      </w:r>
      <w:r>
        <w:rPr>
          <w:rFonts w:hint="eastAsia"/>
        </w:rPr>
        <w:t>构件空气声隔声性能</w:t>
      </w:r>
      <w:r>
        <w:tab/>
      </w:r>
      <w:r>
        <w:fldChar w:fldCharType="begin"/>
      </w:r>
      <w:r>
        <w:instrText xml:space="preserve"> PAGEREF _Toc6368 \h </w:instrText>
      </w:r>
      <w:r>
        <w:fldChar w:fldCharType="separate"/>
      </w:r>
      <w:r>
        <w:t>8</w:t>
      </w:r>
      <w:r>
        <w:fldChar w:fldCharType="end"/>
      </w:r>
      <w:r>
        <w:fldChar w:fldCharType="end"/>
      </w:r>
    </w:p>
    <w:p>
      <w:pPr>
        <w:pStyle w:val="20"/>
        <w:tabs>
          <w:tab w:val="right" w:leader="dot" w:pos="9070"/>
          <w:tab w:val="clear" w:pos="540"/>
          <w:tab w:val="clear" w:pos="9360"/>
        </w:tabs>
      </w:pPr>
      <w:r>
        <w:fldChar w:fldCharType="begin"/>
      </w:r>
      <w:r>
        <w:instrText xml:space="preserve"> HYPERLINK \l _Toc6880 </w:instrText>
      </w:r>
      <w:r>
        <w:fldChar w:fldCharType="separate"/>
      </w:r>
      <w:r>
        <w:t xml:space="preserve">5.1 </w:t>
      </w:r>
      <w:r>
        <w:rPr>
          <w:rFonts w:hint="eastAsia"/>
        </w:rPr>
        <w:t>墙板的空气声隔声量</w:t>
      </w:r>
      <w:r>
        <w:tab/>
      </w:r>
      <w:r>
        <w:fldChar w:fldCharType="begin"/>
      </w:r>
      <w:r>
        <w:instrText xml:space="preserve"> PAGEREF _Toc6880 \h </w:instrText>
      </w:r>
      <w:r>
        <w:fldChar w:fldCharType="separate"/>
      </w:r>
      <w:r>
        <w:t>8</w:t>
      </w:r>
      <w:r>
        <w:fldChar w:fldCharType="end"/>
      </w:r>
      <w:r>
        <w:fldChar w:fldCharType="end"/>
      </w:r>
    </w:p>
    <w:p>
      <w:pPr>
        <w:pStyle w:val="14"/>
        <w:tabs>
          <w:tab w:val="right" w:leader="dot" w:pos="9070"/>
          <w:tab w:val="clear" w:pos="900"/>
          <w:tab w:val="clear" w:pos="9360"/>
        </w:tabs>
      </w:pPr>
      <w:r>
        <w:fldChar w:fldCharType="begin"/>
      </w:r>
      <w:r>
        <w:instrText xml:space="preserve"> HYPERLINK \l _Toc200 </w:instrText>
      </w:r>
      <w:r>
        <w:fldChar w:fldCharType="separate"/>
      </w:r>
      <w:r>
        <w:t xml:space="preserve">5.1.1 </w:t>
      </w:r>
      <w:r>
        <w:rPr>
          <w:rFonts w:hint="eastAsia"/>
        </w:rPr>
        <w:t>墙板构造做法</w:t>
      </w:r>
      <w:r>
        <w:tab/>
      </w:r>
      <w:r>
        <w:fldChar w:fldCharType="begin"/>
      </w:r>
      <w:r>
        <w:instrText xml:space="preserve"> PAGEREF _Toc200 \h </w:instrText>
      </w:r>
      <w:r>
        <w:fldChar w:fldCharType="separate"/>
      </w:r>
      <w:r>
        <w:t>8</w:t>
      </w:r>
      <w:r>
        <w:fldChar w:fldCharType="end"/>
      </w:r>
      <w:r>
        <w:fldChar w:fldCharType="end"/>
      </w:r>
    </w:p>
    <w:p>
      <w:pPr>
        <w:pStyle w:val="14"/>
        <w:tabs>
          <w:tab w:val="right" w:leader="dot" w:pos="9070"/>
          <w:tab w:val="clear" w:pos="900"/>
          <w:tab w:val="clear" w:pos="9360"/>
        </w:tabs>
      </w:pPr>
      <w:r>
        <w:fldChar w:fldCharType="begin"/>
      </w:r>
      <w:r>
        <w:instrText xml:space="preserve"> HYPERLINK \l _Toc27145 </w:instrText>
      </w:r>
      <w:r>
        <w:fldChar w:fldCharType="separate"/>
      </w:r>
      <w:r>
        <w:t xml:space="preserve">5.1.2 </w:t>
      </w:r>
      <w:r>
        <w:rPr>
          <w:rFonts w:hint="eastAsia"/>
        </w:rPr>
        <w:t>墙板空气声隔声性能</w:t>
      </w:r>
      <w:r>
        <w:tab/>
      </w:r>
      <w:r>
        <w:fldChar w:fldCharType="begin"/>
      </w:r>
      <w:r>
        <w:instrText xml:space="preserve"> PAGEREF _Toc27145 \h </w:instrText>
      </w:r>
      <w:r>
        <w:fldChar w:fldCharType="separate"/>
      </w:r>
      <w:r>
        <w:t>8</w:t>
      </w:r>
      <w:r>
        <w:fldChar w:fldCharType="end"/>
      </w:r>
      <w:r>
        <w:fldChar w:fldCharType="end"/>
      </w:r>
    </w:p>
    <w:p>
      <w:pPr>
        <w:pStyle w:val="20"/>
        <w:tabs>
          <w:tab w:val="right" w:leader="dot" w:pos="9070"/>
          <w:tab w:val="clear" w:pos="540"/>
          <w:tab w:val="clear" w:pos="9360"/>
        </w:tabs>
      </w:pPr>
      <w:r>
        <w:fldChar w:fldCharType="begin"/>
      </w:r>
      <w:r>
        <w:instrText xml:space="preserve"> HYPERLINK \l _Toc332 </w:instrText>
      </w:r>
      <w:r>
        <w:fldChar w:fldCharType="separate"/>
      </w:r>
      <w:r>
        <w:t xml:space="preserve">5.2 </w:t>
      </w:r>
      <w:r>
        <w:rPr>
          <w:rFonts w:hint="eastAsia"/>
        </w:rPr>
        <w:t>门窗的空气声隔声量</w:t>
      </w:r>
      <w:r>
        <w:tab/>
      </w:r>
      <w:r>
        <w:fldChar w:fldCharType="begin"/>
      </w:r>
      <w:r>
        <w:instrText xml:space="preserve"> PAGEREF _Toc332 \h </w:instrText>
      </w:r>
      <w:r>
        <w:fldChar w:fldCharType="separate"/>
      </w:r>
      <w:r>
        <w:t>9</w:t>
      </w:r>
      <w:r>
        <w:fldChar w:fldCharType="end"/>
      </w:r>
      <w:r>
        <w:fldChar w:fldCharType="end"/>
      </w:r>
    </w:p>
    <w:p>
      <w:pPr>
        <w:pStyle w:val="18"/>
        <w:tabs>
          <w:tab w:val="right" w:leader="dot" w:pos="9070"/>
          <w:tab w:val="clear" w:pos="180"/>
          <w:tab w:val="clear" w:pos="9360"/>
        </w:tabs>
      </w:pPr>
      <w:r>
        <w:fldChar w:fldCharType="begin"/>
      </w:r>
      <w:r>
        <w:instrText xml:space="preserve"> HYPERLINK \l _Toc5791 </w:instrText>
      </w:r>
      <w:r>
        <w:fldChar w:fldCharType="separate"/>
      </w:r>
      <w:r>
        <w:t xml:space="preserve">6 </w:t>
      </w:r>
      <w:r>
        <w:rPr>
          <w:rFonts w:hint="eastAsia"/>
        </w:rPr>
        <w:t>楼板撞击声隔声性能</w:t>
      </w:r>
      <w:r>
        <w:tab/>
      </w:r>
      <w:r>
        <w:fldChar w:fldCharType="begin"/>
      </w:r>
      <w:r>
        <w:instrText xml:space="preserve"> PAGEREF _Toc5791 \h </w:instrText>
      </w:r>
      <w:r>
        <w:fldChar w:fldCharType="separate"/>
      </w:r>
      <w:r>
        <w:t>9</w:t>
      </w:r>
      <w:r>
        <w:fldChar w:fldCharType="end"/>
      </w:r>
      <w:r>
        <w:fldChar w:fldCharType="end"/>
      </w:r>
    </w:p>
    <w:p>
      <w:pPr>
        <w:pStyle w:val="18"/>
        <w:tabs>
          <w:tab w:val="right" w:leader="dot" w:pos="9070"/>
          <w:tab w:val="clear" w:pos="180"/>
          <w:tab w:val="clear" w:pos="9360"/>
        </w:tabs>
      </w:pPr>
      <w:r>
        <w:fldChar w:fldCharType="begin"/>
      </w:r>
      <w:r>
        <w:instrText xml:space="preserve"> HYPERLINK \l _Toc2248 </w:instrText>
      </w:r>
      <w:r>
        <w:fldChar w:fldCharType="separate"/>
      </w:r>
      <w:r>
        <w:rPr>
          <w:kern w:val="2"/>
        </w:rPr>
        <w:t xml:space="preserve">7 </w:t>
      </w:r>
      <w:r>
        <w:rPr>
          <w:rFonts w:hint="eastAsia"/>
          <w:kern w:val="2"/>
        </w:rPr>
        <w:t>结论</w:t>
      </w:r>
      <w:r>
        <w:tab/>
      </w:r>
      <w:r>
        <w:fldChar w:fldCharType="begin"/>
      </w:r>
      <w:r>
        <w:instrText xml:space="preserve"> PAGEREF _Toc2248 \h </w:instrText>
      </w:r>
      <w:r>
        <w:fldChar w:fldCharType="separate"/>
      </w:r>
      <w:r>
        <w:t>9</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9"/>
    </w:p>
    <w:p>
      <w:pPr>
        <w:pStyle w:val="2"/>
        <w:ind w:left="669" w:hanging="669"/>
      </w:pPr>
      <w:bookmarkStart w:id="10" w:name="_Toc22030"/>
      <w:r>
        <w:rPr>
          <w:rFonts w:hint="eastAsia"/>
        </w:rPr>
        <w:t>建筑概况</w:t>
      </w:r>
      <w:bookmarkEnd w:id="10"/>
    </w:p>
    <w:p>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工程名称</w:t>
            </w:r>
          </w:p>
        </w:tc>
        <w:tc>
          <w:tcPr>
            <w:tcW w:w="6056" w:type="dxa"/>
          </w:tcPr>
          <w:p>
            <w:pPr>
              <w:pStyle w:val="3"/>
            </w:pPr>
            <w:bookmarkStart w:id="11" w:name="工程名称"/>
            <w:bookmarkEnd w:id="11"/>
            <w:r>
              <w:t>侨城滨江郦景小区S</w:t>
            </w:r>
            <w:r>
              <w:rPr>
                <w:rFonts w:hint="eastAsia"/>
                <w:lang w:val="en-US" w:eastAsia="zh-CN"/>
              </w:rPr>
              <w:t>3</w:t>
            </w:r>
            <w: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建筑面积</w:t>
            </w:r>
            <w:r>
              <w:t>(m</w:t>
            </w:r>
            <w:r>
              <w:rPr>
                <w:vertAlign w:val="superscript"/>
              </w:rPr>
              <w:t>2</w:t>
            </w:r>
            <w:r>
              <w:t>)</w:t>
            </w:r>
          </w:p>
        </w:tc>
        <w:tc>
          <w:tcPr>
            <w:tcW w:w="6056" w:type="dxa"/>
          </w:tcPr>
          <w:p>
            <w:pPr>
              <w:pStyle w:val="3"/>
            </w:pPr>
            <w:r>
              <w:rPr>
                <w:rFonts w:hint="eastAsia"/>
              </w:rPr>
              <w:t xml:space="preserve">地上  </w:t>
            </w:r>
            <w:bookmarkStart w:id="12" w:name="地上建筑面积"/>
            <w:r>
              <w:t>210</w:t>
            </w:r>
            <w:bookmarkEnd w:id="12"/>
            <w:r>
              <w:rPr>
                <w:rFonts w:hint="eastAsia"/>
              </w:rPr>
              <w:t xml:space="preserve">        地下</w:t>
            </w:r>
            <w:bookmarkStart w:id="13" w:name="地下建筑面积"/>
            <w:r>
              <w:t>0</w:t>
            </w:r>
            <w:bookmarkEnd w:id="13"/>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建筑层数</w:t>
            </w:r>
          </w:p>
        </w:tc>
        <w:tc>
          <w:tcPr>
            <w:tcW w:w="6056" w:type="dxa"/>
          </w:tcPr>
          <w:p>
            <w:pPr>
              <w:pStyle w:val="3"/>
            </w:pPr>
            <w:r>
              <w:rPr>
                <w:rFonts w:hint="eastAsia"/>
              </w:rPr>
              <w:t xml:space="preserve">地上 </w:t>
            </w:r>
            <w:bookmarkStart w:id="14" w:name="地上建筑层数"/>
            <w:r>
              <w:t>1</w:t>
            </w:r>
            <w:bookmarkEnd w:id="14"/>
            <w:r>
              <w:rPr>
                <w:rFonts w:hint="eastAsia"/>
              </w:rPr>
              <w:t xml:space="preserve">         地下</w:t>
            </w:r>
            <w:bookmarkStart w:id="15" w:name="地下建筑层数"/>
            <w:r>
              <w:t>0</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建筑高度（</w:t>
            </w:r>
            <w:r>
              <w:t>m</w:t>
            </w:r>
            <w:r>
              <w:rPr>
                <w:rFonts w:hint="eastAsia"/>
              </w:rPr>
              <w:t>）</w:t>
            </w:r>
          </w:p>
        </w:tc>
        <w:tc>
          <w:tcPr>
            <w:tcW w:w="6056" w:type="dxa"/>
          </w:tcPr>
          <w:p>
            <w:pPr>
              <w:pStyle w:val="3"/>
            </w:pPr>
            <w:r>
              <w:rPr>
                <w:rFonts w:hint="eastAsia"/>
              </w:rPr>
              <w:t>地上</w:t>
            </w:r>
            <w:bookmarkStart w:id="16" w:name="地上建筑高度"/>
            <w:r>
              <w:t>4.1</w:t>
            </w:r>
            <w:bookmarkEnd w:id="16"/>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北向角度（°）</w:t>
            </w:r>
          </w:p>
        </w:tc>
        <w:tc>
          <w:tcPr>
            <w:tcW w:w="6056" w:type="dxa"/>
          </w:tcPr>
          <w:p>
            <w:pPr>
              <w:pStyle w:val="3"/>
            </w:pPr>
            <w:bookmarkStart w:id="17" w:name="北向角度"/>
            <w:r>
              <w:t>90</w:t>
            </w:r>
            <w:bookmarkEnd w:id="17"/>
          </w:p>
        </w:tc>
      </w:tr>
    </w:tbl>
    <w:p>
      <w:pPr>
        <w:pStyle w:val="3"/>
        <w:spacing w:before="312" w:beforeLines="100"/>
        <w:jc w:val="center"/>
        <w:rPr>
          <w:lang w:val="en-US"/>
        </w:rPr>
      </w:pPr>
      <w:bookmarkStart w:id="18" w:name="围护结构概况"/>
      <w:bookmarkEnd w:id="18"/>
      <w:bookmarkStart w:id="19" w:name="单体模型观察图"/>
      <w:bookmarkEnd w:id="19"/>
      <w:r>
        <w:rPr>
          <w:lang w:val="en-US"/>
        </w:rPr>
        <w:t>请先在[模型观察]命令中保存图片！</w:t>
      </w:r>
    </w:p>
    <w:p>
      <w:pPr>
        <w:jc w:val="center"/>
        <w:rPr>
          <w:b/>
          <w:i/>
          <w:lang w:val="en-US"/>
        </w:rPr>
      </w:pPr>
      <w:r>
        <w:rPr>
          <w:rFonts w:hint="eastAsia"/>
          <w:lang w:val="en-US"/>
        </w:rPr>
        <w:t>图</w:t>
      </w:r>
      <w:r>
        <w:rPr>
          <w:lang w:val="en-US"/>
        </w:rPr>
        <w:t xml:space="preserve">1-1 </w:t>
      </w:r>
      <w:r>
        <w:rPr>
          <w:rFonts w:hint="eastAsia"/>
          <w:lang w:val="en-US"/>
        </w:rPr>
        <w:t>建筑模型</w:t>
      </w:r>
    </w:p>
    <w:p>
      <w:pPr>
        <w:pStyle w:val="2"/>
        <w:ind w:left="669" w:hanging="669"/>
      </w:pPr>
      <w:bookmarkStart w:id="20" w:name="_Toc15682"/>
      <w:r>
        <w:rPr>
          <w:rFonts w:hint="eastAsia"/>
        </w:rPr>
        <w:t>评价依据</w:t>
      </w:r>
      <w:bookmarkEnd w:id="20"/>
    </w:p>
    <w:p>
      <w:pPr>
        <w:pStyle w:val="3"/>
        <w:numPr>
          <w:ilvl w:val="0"/>
          <w:numId w:val="2"/>
        </w:numPr>
        <w:rPr>
          <w:lang w:val="en-US"/>
        </w:rPr>
      </w:pPr>
      <w:bookmarkStart w:id="21" w:name="计算依据"/>
      <w:bookmarkEnd w:id="21"/>
      <w:r>
        <w:rPr>
          <w:rFonts w:hint="eastAsia"/>
          <w:lang w:val="en-US"/>
        </w:rPr>
        <w:t>《绿色建筑评价标准》</w:t>
      </w:r>
      <w:r>
        <w:rPr>
          <w:lang w:val="en-US"/>
        </w:rPr>
        <w:t>GB/T 50378-2019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w:t>
      </w:r>
      <w:r>
        <w:rPr>
          <w:lang w:val="en-US"/>
        </w:rPr>
        <w:t>GB 50118-2010</w:t>
      </w:r>
    </w:p>
    <w:p>
      <w:pPr>
        <w:pStyle w:val="3"/>
        <w:numPr>
          <w:ilvl w:val="0"/>
          <w:numId w:val="2"/>
        </w:numPr>
        <w:rPr>
          <w:lang w:val="en-US"/>
        </w:rPr>
      </w:pPr>
      <w:r>
        <w:rPr>
          <w:rFonts w:hint="eastAsia"/>
          <w:lang w:val="en-US"/>
        </w:rPr>
        <w:t>《建筑隔声评价标准》</w:t>
      </w:r>
      <w:r>
        <w:rPr>
          <w:lang w:val="en-US"/>
        </w:rPr>
        <w:t>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《声学手册》</w:t>
      </w:r>
    </w:p>
    <w:p>
      <w:pPr>
        <w:pStyle w:val="3"/>
        <w:numPr>
          <w:ilvl w:val="0"/>
          <w:numId w:val="2"/>
        </w:numPr>
        <w:rPr>
          <w:lang w:val="en-US"/>
        </w:rPr>
      </w:pPr>
      <w:r>
        <w:rPr>
          <w:rFonts w:hint="eastAsia"/>
          <w:lang w:val="en-US"/>
        </w:rPr>
        <w:t>《噪声与振动控制工程手册 》</w:t>
      </w:r>
    </w:p>
    <w:p>
      <w:pPr>
        <w:pStyle w:val="3"/>
        <w:numPr>
          <w:ilvl w:val="0"/>
          <w:numId w:val="2"/>
        </w:numPr>
        <w:rPr>
          <w:lang w:val="en-US"/>
        </w:rPr>
      </w:pPr>
      <w:r>
        <w:rPr>
          <w:rFonts w:hint="eastAsia"/>
          <w:lang w:val="en-US"/>
        </w:rPr>
        <w:t>《建筑声学设计原理》</w:t>
      </w:r>
    </w:p>
    <w:p>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numPr>
          <w:ilvl w:val="0"/>
          <w:numId w:val="2"/>
        </w:numPr>
        <w:rPr>
          <w:lang w:val="en-US"/>
        </w:rPr>
      </w:pPr>
      <w:r>
        <w:rPr>
          <w:rFonts w:hint="eastAsia"/>
          <w:lang w:val="en-US"/>
        </w:rPr>
        <w:t>《建筑设计资料集（</w:t>
      </w:r>
      <w:r>
        <w:rPr>
          <w:lang w:val="en-US"/>
        </w:rPr>
        <w:t>2</w:t>
      </w:r>
      <w:r>
        <w:rPr>
          <w:rFonts w:hint="eastAsia"/>
          <w:lang w:val="en-US"/>
        </w:rPr>
        <w:t>）第二版》</w:t>
      </w:r>
    </w:p>
    <w:p>
      <w:pPr>
        <w:pStyle w:val="2"/>
        <w:ind w:left="669" w:hanging="669"/>
      </w:pPr>
      <w:bookmarkStart w:id="22" w:name="_Toc18668"/>
      <w:r>
        <w:rPr>
          <w:rFonts w:hint="eastAsia"/>
        </w:rPr>
        <w:t>标准</w:t>
      </w:r>
      <w:r>
        <w:t>要求</w:t>
      </w:r>
      <w:bookmarkEnd w:id="22"/>
    </w:p>
    <w:p>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pPr>
        <w:pStyle w:val="3"/>
        <w:numPr>
          <w:ilvl w:val="0"/>
          <w:numId w:val="3"/>
        </w:numPr>
        <w:rPr>
          <w:bCs/>
        </w:rPr>
      </w:pPr>
      <w:r>
        <w:rPr>
          <w:rFonts w:hint="eastAsia"/>
          <w:bCs/>
        </w:rPr>
        <w:t>控制项要求</w:t>
      </w:r>
      <w:r>
        <w:rPr>
          <w:bCs/>
        </w:rPr>
        <w:t xml:space="preserve">： </w:t>
      </w:r>
    </w:p>
    <w:p>
      <w:pPr>
        <w:pStyle w:val="3"/>
        <w:ind w:left="360" w:leftChars="200"/>
      </w:pPr>
      <w:r>
        <w:rPr>
          <w:rFonts w:hint="eastAsia"/>
        </w:rPr>
        <w:t>5.1.4 主要功能房间的室内噪声级和隔声性能应符合下列规定：</w:t>
      </w:r>
    </w:p>
    <w:p>
      <w:pPr>
        <w:pStyle w:val="3"/>
        <w:ind w:left="720" w:leftChars="400"/>
      </w:pPr>
      <w:r>
        <w:rPr>
          <w:rFonts w:hint="eastAsia"/>
        </w:rPr>
        <w:t>1 室内噪声级应满足现行国家标准《民用建筑隔声设计规范》GB 50118 中的低限要求；</w:t>
      </w:r>
    </w:p>
    <w:p>
      <w:pPr>
        <w:pStyle w:val="3"/>
        <w:ind w:left="720" w:leftChars="400"/>
      </w:pPr>
      <w:r>
        <w:rPr>
          <w:rFonts w:hint="eastAsia"/>
        </w:rPr>
        <w:t>2 外墙、隔墙、楼板和门窗的隔声性能应满足现行国家标准《民用建筑隔声设计规范》GB 50118 中的低限要求。</w:t>
      </w:r>
    </w:p>
    <w:p>
      <w:pPr>
        <w:pStyle w:val="3"/>
        <w:numPr>
          <w:ilvl w:val="0"/>
          <w:numId w:val="4"/>
        </w:numPr>
        <w:rPr>
          <w:bCs/>
        </w:rPr>
      </w:pPr>
      <w:r>
        <w:rPr>
          <w:rFonts w:hint="eastAsia"/>
          <w:bCs/>
        </w:rPr>
        <w:t>评分项要求</w:t>
      </w:r>
      <w:r>
        <w:rPr>
          <w:bCs/>
        </w:rPr>
        <w:t>：</w:t>
      </w:r>
    </w:p>
    <w:p>
      <w:pPr>
        <w:pStyle w:val="3"/>
        <w:ind w:firstLine="315" w:firstLineChars="150"/>
      </w:pPr>
      <w:r>
        <w:rPr>
          <w:rFonts w:hint="eastAsia"/>
        </w:rPr>
        <w:t>5.2.7 主要功能房间的隔声性能良好，评价总分值为10 分，并按下列规则分别评分并累计：</w:t>
      </w:r>
    </w:p>
    <w:p>
      <w:pPr>
        <w:pStyle w:val="3"/>
        <w:ind w:left="720" w:leftChars="400"/>
      </w:pPr>
      <w:r>
        <w:rPr>
          <w:rFonts w:hint="eastAsia"/>
        </w:rPr>
        <w:t>1 构件及相邻房间之间的空气声隔声性能达到现行国家标准《民用建筑隔声设计规范》GB50118中的低限标准限值和高要求标准限值的平均值，得3分；达到高要求标准限值，得5分；</w:t>
      </w:r>
    </w:p>
    <w:p>
      <w:pPr>
        <w:pStyle w:val="3"/>
        <w:ind w:left="720" w:leftChars="400"/>
      </w:pPr>
      <w:r>
        <w:rPr>
          <w:rFonts w:hint="eastAsia"/>
        </w:rPr>
        <w:t>2 楼板的撞击声隔声性能达到现行国家标准《民用建筑隔声设计规范》GB50118中的低限标准限值和高要求标准限值的平均值，得3分；达到高要求标准限值，得5分。</w:t>
      </w:r>
    </w:p>
    <w:p>
      <w:pPr>
        <w:pStyle w:val="2"/>
        <w:ind w:left="669" w:hanging="669"/>
        <w:rPr>
          <w:kern w:val="2"/>
        </w:rPr>
      </w:pPr>
      <w:bookmarkStart w:id="23" w:name="_Toc3207"/>
      <w:bookmarkStart w:id="24" w:name="_Toc438716944"/>
      <w:r>
        <w:rPr>
          <w:rFonts w:hint="eastAsia"/>
          <w:kern w:val="2"/>
        </w:rPr>
        <w:t>隔声理论概述</w:t>
      </w:r>
      <w:bookmarkEnd w:id="23"/>
    </w:p>
    <w:p>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pPr>
        <w:pStyle w:val="3"/>
        <w:numPr>
          <w:ilvl w:val="0"/>
          <w:numId w:val="5"/>
        </w:numPr>
      </w:pPr>
      <w:r>
        <w:rPr>
          <w:rFonts w:hint="eastAsia"/>
        </w:rPr>
        <w:t>空气声：声源经过空气向四周传播的噪声，如室外交通噪声。</w:t>
      </w:r>
    </w:p>
    <w:p>
      <w:pPr>
        <w:pStyle w:val="3"/>
        <w:numPr>
          <w:ilvl w:val="0"/>
          <w:numId w:val="5"/>
        </w:numPr>
      </w:pPr>
      <w:r>
        <w:rPr>
          <w:rFonts w:hint="eastAsia"/>
        </w:rPr>
        <w:t>撞击声：两物体相互撞击产生的噪声，通过固体来传播，如楼板上行走</w:t>
      </w:r>
      <w:r>
        <w:t>的脚步声。</w:t>
      </w:r>
    </w:p>
    <w:p>
      <w:pPr>
        <w:pStyle w:val="13"/>
        <w:spacing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335758" cy="1358420"/>
                    </a:xfrm>
                    <a:prstGeom prst="rect">
                      <a:avLst/>
                    </a:prstGeom>
                  </pic:spPr>
                </pic:pic>
              </a:graphicData>
            </a:graphic>
          </wp:inline>
        </w:drawing>
      </w:r>
    </w:p>
    <w:p>
      <w:pPr>
        <w:jc w:val="center"/>
        <w:rPr>
          <w:b/>
          <w:i/>
          <w:lang w:val="en-US"/>
        </w:rPr>
      </w:pPr>
      <w:r>
        <w:rPr>
          <w:rFonts w:hint="eastAsia"/>
          <w:lang w:val="en-US"/>
        </w:rPr>
        <w:t>图</w:t>
      </w:r>
      <w:r>
        <w:rPr>
          <w:lang w:val="en-US"/>
        </w:rPr>
        <w:t xml:space="preserve">4-1 </w:t>
      </w:r>
      <w:r>
        <w:rPr>
          <w:rFonts w:hint="eastAsia"/>
          <w:lang w:val="en-US"/>
        </w:rPr>
        <w:t>空气声和撞击声</w:t>
      </w:r>
    </w:p>
    <w:p>
      <w:pPr>
        <w:pStyle w:val="4"/>
      </w:pPr>
      <w:bookmarkStart w:id="25" w:name="_Toc20127"/>
      <w:r>
        <w:rPr>
          <w:rFonts w:hint="eastAsia"/>
        </w:rPr>
        <w:t>原理概要</w:t>
      </w:r>
      <w:bookmarkEnd w:id="25"/>
    </w:p>
    <w:p>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pPr>
        <w:widowControl w:val="0"/>
        <w:jc w:val="center"/>
        <w:rPr>
          <w:rFonts w:ascii="Calibri" w:hAnsi="Calibri"/>
          <w:kern w:val="2"/>
          <w:szCs w:val="22"/>
          <w:lang w:val="en-US"/>
        </w:rPr>
      </w:pPr>
      <w:r>
        <w:rPr>
          <w:rFonts w:ascii="宋体" w:hAnsi="宋体"/>
        </w:rPr>
        <w:object>
          <v:shape id="_x0000_i1025" o:spt="75" type="#_x0000_t75" style="height:30.75pt;width:56.2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pPr>
        <w:pStyle w:val="3"/>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pPr>
        <w:pStyle w:val="4"/>
      </w:pPr>
      <w:bookmarkStart w:id="26" w:name="_Toc503800603"/>
      <w:bookmarkStart w:id="27" w:name="_Toc503275877"/>
      <w:bookmarkStart w:id="28" w:name="_Toc24466"/>
      <w:bookmarkStart w:id="29" w:name="_Toc503800668"/>
      <w:r>
        <w:rPr>
          <w:rFonts w:hint="eastAsia"/>
        </w:rPr>
        <w:t>质量定律</w:t>
      </w:r>
      <w:bookmarkEnd w:id="26"/>
      <w:bookmarkEnd w:id="27"/>
      <w:bookmarkEnd w:id="28"/>
      <w:bookmarkEnd w:id="29"/>
    </w:p>
    <w:p>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pPr>
        <w:ind w:right="420"/>
        <w:jc w:val="center"/>
        <w:rPr>
          <w:rFonts w:ascii="宋体" w:hAnsi="宋体"/>
        </w:rPr>
      </w:pPr>
      <w:r>
        <w:rPr>
          <w:rFonts w:ascii="宋体" w:hAnsi="宋体"/>
        </w:rPr>
        <w:object>
          <v:shape id="_x0000_i1026" o:spt="75" type="#_x0000_t75" style="height:41.25pt;width:107.25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p>
    <w:p>
      <w:pPr>
        <w:pStyle w:val="3"/>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pPr>
        <w:pStyle w:val="3"/>
        <w:ind w:left="540" w:leftChars="300" w:firstLine="630" w:firstLineChars="300"/>
      </w:pPr>
      <w:r>
        <w:rPr>
          <w:rFonts w:hint="eastAsia" w:ascii="HGB6X_CNKI" w:hAnsi="HGB6X_CNKI" w:eastAsia="HGB6X_CNKI"/>
        </w:rPr>
        <w:t>c</w:t>
      </w:r>
      <w:r>
        <w:rPr>
          <w:rFonts w:hint="eastAsia"/>
        </w:rPr>
        <w:t>——空气中的声速，一般取344 m/s</w:t>
      </w:r>
    </w:p>
    <w:p>
      <w:pPr>
        <w:pStyle w:val="3"/>
        <w:ind w:left="540" w:leftChars="300" w:firstLine="630" w:firstLineChars="300"/>
      </w:pPr>
      <w:r>
        <w:rPr>
          <w:rFonts w:hint="eastAsia" w:ascii="HGB6X_CNKI" w:hAnsi="HGB6X_CNKI" w:eastAsia="HGB6X_CNKI"/>
        </w:rPr>
        <w:t>f</w:t>
      </w:r>
      <w:r>
        <w:rPr>
          <w:rFonts w:hint="eastAsia"/>
        </w:rPr>
        <w:t>——入射声波的频率，Hz</w:t>
      </w:r>
    </w:p>
    <w:p>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pPr>
        <w:pStyle w:val="3"/>
        <w:jc w:val="center"/>
      </w:pPr>
      <w:r>
        <w:rPr>
          <w:lang w:val="en-US"/>
        </w:rPr>
        <w:drawing>
          <wp:inline distT="0" distB="0" distL="0" distR="0">
            <wp:extent cx="2334895" cy="431800"/>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2409936" cy="445851"/>
                    </a:xfrm>
                    <a:prstGeom prst="rect">
                      <a:avLst/>
                    </a:prstGeom>
                  </pic:spPr>
                </pic:pic>
              </a:graphicData>
            </a:graphic>
          </wp:inline>
        </w:drawing>
      </w:r>
    </w:p>
    <w:p>
      <w:pPr>
        <w:pStyle w:val="13"/>
        <w:spacing w:line="240" w:lineRule="auto"/>
        <w:ind w:firstLine="420"/>
        <w:rPr>
          <w:kern w:val="0"/>
          <w:sz w:val="21"/>
          <w:szCs w:val="21"/>
          <w:lang w:val="en-GB"/>
        </w:rPr>
      </w:pPr>
      <w:r>
        <w:rPr>
          <w:rFonts w:hint="eastAsia"/>
          <w:kern w:val="0"/>
          <w:sz w:val="21"/>
          <w:szCs w:val="21"/>
          <w:lang w:val="en-GB"/>
        </w:rPr>
        <w:t>如果声波并非垂直入射，而是无规入射时，则墙的隔声量为：</w:t>
      </w:r>
    </w:p>
    <w:p>
      <w:pPr>
        <w:jc w:val="center"/>
        <w:rPr>
          <w:rFonts w:ascii="宋体" w:hAnsi="宋体"/>
        </w:rPr>
      </w:pPr>
      <w:r>
        <w:rPr>
          <w:lang w:val="en-US"/>
        </w:rPr>
        <w:drawing>
          <wp:inline distT="0" distB="0" distL="0" distR="0">
            <wp:extent cx="1879600" cy="27051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user\AppData\Local\Temp\SNAGHTMLf84bbc87.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052142" cy="295429"/>
                    </a:xfrm>
                    <a:prstGeom prst="rect">
                      <a:avLst/>
                    </a:prstGeom>
                    <a:noFill/>
                    <a:ln>
                      <a:noFill/>
                    </a:ln>
                  </pic:spPr>
                </pic:pic>
              </a:graphicData>
            </a:graphic>
          </wp:inline>
        </w:drawing>
      </w:r>
    </w:p>
    <w:p>
      <w:pPr>
        <w:pStyle w:val="13"/>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3911243" cy="2598038"/>
                    </a:xfrm>
                    <a:prstGeom prst="rect">
                      <a:avLst/>
                    </a:prstGeom>
                  </pic:spPr>
                </pic:pic>
              </a:graphicData>
            </a:graphic>
          </wp:inline>
        </w:drawing>
      </w:r>
    </w:p>
    <w:p>
      <w:pPr>
        <w:jc w:val="center"/>
        <w:rPr>
          <w:lang w:val="en-US"/>
        </w:rPr>
      </w:pPr>
      <w:r>
        <w:rPr>
          <w:rFonts w:hint="eastAsia"/>
          <w:lang w:val="en-US"/>
        </w:rPr>
        <w:t>图</w:t>
      </w:r>
      <w:r>
        <w:rPr>
          <w:lang w:val="en-US"/>
        </w:rPr>
        <w:t xml:space="preserve">4-4  </w:t>
      </w:r>
      <w:r>
        <w:rPr>
          <w:rFonts w:hint="eastAsia"/>
          <w:lang w:val="en-US"/>
        </w:rPr>
        <w:t>由质量控制的柔性板的隔声量</w:t>
      </w:r>
    </w:p>
    <w:p>
      <w:pPr>
        <w:pStyle w:val="3"/>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pPr>
        <w:pStyle w:val="4"/>
      </w:pPr>
      <w:bookmarkStart w:id="30" w:name="_Toc27957"/>
      <w:r>
        <w:t>隔声</w:t>
      </w:r>
      <w:r>
        <w:rPr>
          <w:rFonts w:hint="eastAsia"/>
        </w:rPr>
        <w:t>量计算经验</w:t>
      </w:r>
      <w:r>
        <w:t>公式</w:t>
      </w:r>
      <w:bookmarkEnd w:id="30"/>
    </w:p>
    <w:p>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pPr>
        <w:pStyle w:val="3"/>
        <w:ind w:firstLine="420" w:firstLineChars="200"/>
        <w:jc w:val="center"/>
      </w:pPr>
      <w:r>
        <w:rPr>
          <w:lang w:val="en-US"/>
        </w:rPr>
        <w:drawing>
          <wp:inline distT="0" distB="0" distL="0" distR="0">
            <wp:extent cx="3360420" cy="51562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7"/>
                    <a:stretch>
                      <a:fillRect/>
                    </a:stretch>
                  </pic:blipFill>
                  <pic:spPr>
                    <a:xfrm>
                      <a:off x="0" y="0"/>
                      <a:ext cx="3431722" cy="526650"/>
                    </a:xfrm>
                    <a:prstGeom prst="rect">
                      <a:avLst/>
                    </a:prstGeom>
                  </pic:spPr>
                </pic:pic>
              </a:graphicData>
            </a:graphic>
          </wp:inline>
        </w:drawing>
      </w:r>
    </w:p>
    <w:p>
      <w:pPr>
        <w:pStyle w:val="3"/>
        <w:ind w:firstLine="420" w:firstLineChars="200"/>
        <w:jc w:val="center"/>
      </w:pPr>
    </w:p>
    <w:p>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pPr>
        <w:jc w:val="center"/>
        <w:rPr>
          <w:lang w:val="en-US"/>
        </w:rPr>
      </w:pPr>
      <w:r>
        <w:rPr>
          <w:rFonts w:hint="eastAsia"/>
          <w:lang w:val="en-US"/>
        </w:rPr>
        <w:t>图4-5构件500Hz隔声曲线</w:t>
      </w:r>
    </w:p>
    <w:p>
      <w:pPr>
        <w:pStyle w:val="3"/>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pPr>
        <w:pStyle w:val="4"/>
      </w:pPr>
      <w:bookmarkStart w:id="31" w:name="_Toc28743"/>
      <w:r>
        <w:rPr>
          <w:rFonts w:hint="eastAsia"/>
        </w:rPr>
        <w:t>单值评价量</w:t>
      </w:r>
      <w:bookmarkEnd w:id="31"/>
    </w:p>
    <w:p>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pPr>
        <w:pStyle w:val="3"/>
        <w:numPr>
          <w:ilvl w:val="0"/>
          <w:numId w:val="6"/>
        </w:numPr>
        <w:rPr>
          <w:kern w:val="2"/>
          <w:szCs w:val="24"/>
          <w:lang w:val="en-US"/>
        </w:rPr>
      </w:pPr>
      <w:r>
        <w:rPr>
          <w:rFonts w:hint="eastAsia"/>
        </w:rPr>
        <w:t>可采用公式法求得：</w:t>
      </w:r>
    </w:p>
    <w:p>
      <w:pPr>
        <w:pStyle w:val="3"/>
        <w:jc w:val="center"/>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846371" cy="471336"/>
                    </a:xfrm>
                    <a:prstGeom prst="rect">
                      <a:avLst/>
                    </a:prstGeom>
                  </pic:spPr>
                </pic:pic>
              </a:graphicData>
            </a:graphic>
          </wp:inline>
        </w:drawing>
      </w:r>
    </w:p>
    <w:p>
      <w:pPr>
        <w:pStyle w:val="3"/>
        <w:jc w:val="center"/>
        <w:rPr>
          <w:sz w:val="18"/>
          <w:szCs w:val="18"/>
        </w:rPr>
      </w:pPr>
      <w:r>
        <w:rPr>
          <w:lang w:val="en-US"/>
        </w:rPr>
        <w:drawing>
          <wp:inline distT="0" distB="0" distL="0" distR="0">
            <wp:extent cx="2302510"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0"/>
                    <a:stretch>
                      <a:fillRect/>
                    </a:stretch>
                  </pic:blipFill>
                  <pic:spPr>
                    <a:xfrm>
                      <a:off x="0" y="0"/>
                      <a:ext cx="2433443" cy="563680"/>
                    </a:xfrm>
                    <a:prstGeom prst="rect">
                      <a:avLst/>
                    </a:prstGeom>
                  </pic:spPr>
                </pic:pic>
              </a:graphicData>
            </a:graphic>
          </wp:inline>
        </w:drawing>
      </w:r>
    </w:p>
    <w:p>
      <w:pPr>
        <w:ind w:left="360" w:leftChars="200" w:firstLine="400" w:firstLineChars="200"/>
        <w:rPr>
          <w:sz w:val="20"/>
          <w:szCs w:val="21"/>
        </w:rPr>
      </w:pPr>
      <w:r>
        <w:rPr>
          <w:rFonts w:hint="eastAsia"/>
          <w:sz w:val="20"/>
          <w:szCs w:val="21"/>
        </w:rPr>
        <w:t>式中：</w:t>
      </w:r>
      <w:r>
        <w:rPr>
          <w:position w:val="-12"/>
          <w:sz w:val="20"/>
          <w:szCs w:val="21"/>
        </w:rPr>
        <w:object>
          <v:shape id="_x0000_i1027" o:spt="75" type="#_x0000_t75" style="height:16.5pt;width:16.5pt;" o:ole="t" filled="f" o:preferrelative="t" stroked="f" coordsize="21600,21600">
            <v:path/>
            <v:fill on="f" focussize="0,0"/>
            <v:stroke on="f" joinstyle="miter"/>
            <v:imagedata r:id="rId22" o:title=""/>
            <o:lock v:ext="edit" aspectratio="t"/>
            <w10:wrap type="none"/>
            <w10:anchorlock/>
          </v:shape>
          <o:OLEObject Type="Embed" ProgID="Equation.DSMT4" ShapeID="_x0000_i1027" DrawAspect="Content" ObjectID="_1468075727" r:id="rId21">
            <o:LockedField>false</o:LockedField>
          </o:OLEObject>
        </w:object>
      </w:r>
      <w:r>
        <w:rPr>
          <w:rFonts w:hint="eastAsia"/>
          <w:sz w:val="20"/>
          <w:szCs w:val="21"/>
        </w:rPr>
        <w:t>—空气声隔声计权单值评价量；</w:t>
      </w:r>
    </w:p>
    <w:p>
      <w:pPr>
        <w:ind w:left="360" w:leftChars="200" w:firstLine="1000" w:firstLineChars="500"/>
        <w:rPr>
          <w:sz w:val="20"/>
          <w:szCs w:val="21"/>
        </w:rPr>
      </w:pPr>
      <w:r>
        <w:rPr>
          <w:position w:val="-12"/>
          <w:sz w:val="20"/>
          <w:szCs w:val="21"/>
        </w:rPr>
        <w:object>
          <v:shape id="_x0000_i1028" o:spt="75" type="#_x0000_t75" style="height:16.5pt;width:12pt;" o:ole="t" filled="f" o:preferrelative="t" stroked="f" coordsize="21600,21600">
            <v:path/>
            <v:fill on="f" focussize="0,0"/>
            <v:stroke on="f" joinstyle="miter"/>
            <v:imagedata r:id="rId24" o:title=""/>
            <o:lock v:ext="edit" aspectratio="t"/>
            <w10:wrap type="none"/>
            <w10:anchorlock/>
          </v:shape>
          <o:OLEObject Type="Embed" ProgID="Equation.DSMT4" ShapeID="_x0000_i1028" DrawAspect="Content" ObjectID="_1468075728" r:id="rId23">
            <o:LockedField>false</o:LockedField>
          </o:OLEObject>
        </w:object>
      </w:r>
      <w:r>
        <w:rPr>
          <w:rFonts w:hint="eastAsia"/>
          <w:sz w:val="20"/>
          <w:szCs w:val="21"/>
        </w:rPr>
        <w:t>—</w:t>
      </w:r>
      <w:r>
        <w:rPr>
          <w:sz w:val="20"/>
          <w:szCs w:val="21"/>
        </w:rPr>
        <w:t>第i个频带的基准值；</w:t>
      </w:r>
    </w:p>
    <w:p>
      <w:pPr>
        <w:ind w:left="360" w:leftChars="200" w:firstLine="1000" w:firstLineChars="500"/>
        <w:rPr>
          <w:sz w:val="20"/>
          <w:szCs w:val="21"/>
        </w:rPr>
      </w:pPr>
      <w:r>
        <w:rPr>
          <w:position w:val="-12"/>
          <w:sz w:val="20"/>
          <w:szCs w:val="21"/>
        </w:rPr>
        <w:object>
          <v:shape id="_x0000_i1029" o:spt="75" type="#_x0000_t75" style="height:14.25pt;width:12pt;" o:ole="t" filled="f" o:preferrelative="t" stroked="f" coordsize="21600,21600">
            <v:path/>
            <v:fill on="f" focussize="0,0"/>
            <v:stroke on="f" joinstyle="miter"/>
            <v:imagedata r:id="rId26" o:title=""/>
            <o:lock v:ext="edit" aspectratio="t"/>
            <w10:wrap type="none"/>
            <w10:anchorlock/>
          </v:shape>
          <o:OLEObject Type="Embed" ProgID="Equation.DSMT4" ShapeID="_x0000_i1029" DrawAspect="Content" ObjectID="_1468075729" r:id="rId25">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7"/>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pPr>
        <w:pStyle w:val="3"/>
        <w:ind w:firstLine="630" w:firstLineChars="300"/>
        <w:jc w:val="right"/>
      </w:pPr>
    </w:p>
    <w:p>
      <w:pPr>
        <w:pStyle w:val="3"/>
        <w:numPr>
          <w:ilvl w:val="0"/>
          <w:numId w:val="6"/>
        </w:numPr>
      </w:pPr>
      <w:r>
        <w:rPr>
          <w:rFonts w:hint="eastAsia"/>
          <w:bCs/>
        </w:rPr>
        <w:t>计权规范化撞击声压级是表征构件撞击声隔声性能的单值评价量，满足不利偏差要求的最</w:t>
      </w:r>
      <w:r>
        <w:rPr>
          <w:rFonts w:hint="eastAsia"/>
        </w:rPr>
        <w:t>小值再减</w:t>
      </w:r>
      <w:r>
        <w:t>5dB即为撞击声隔声计权单值评价量，精确到1dB，</w:t>
      </w:r>
      <w:r>
        <w:rPr>
          <w:rFonts w:hint="eastAsia"/>
        </w:rPr>
        <w:t>可采用公式法求得：</w:t>
      </w:r>
    </w:p>
    <w:p>
      <w:pPr>
        <w:pStyle w:val="3"/>
        <w:jc w:val="center"/>
      </w:pPr>
      <w:r>
        <w:rPr>
          <w:lang w:val="en-US"/>
        </w:rPr>
        <w:drawing>
          <wp:inline distT="0" distB="0" distL="0" distR="0">
            <wp:extent cx="2839720"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8"/>
                    <a:stretch>
                      <a:fillRect/>
                    </a:stretch>
                  </pic:blipFill>
                  <pic:spPr>
                    <a:xfrm>
                      <a:off x="0" y="0"/>
                      <a:ext cx="2977876" cy="689095"/>
                    </a:xfrm>
                    <a:prstGeom prst="rect">
                      <a:avLst/>
                    </a:prstGeom>
                  </pic:spPr>
                </pic:pic>
              </a:graphicData>
            </a:graphic>
          </wp:inline>
        </w:drawing>
      </w:r>
    </w:p>
    <w:p>
      <w:pPr>
        <w:pStyle w:val="3"/>
        <w:ind w:left="900" w:leftChars="500"/>
        <w:rPr>
          <w:kern w:val="2"/>
          <w:sz w:val="20"/>
          <w:lang w:val="en-US"/>
        </w:rPr>
      </w:pPr>
      <w:r>
        <w:rPr>
          <w:rFonts w:hint="eastAsia"/>
          <w:kern w:val="2"/>
          <w:sz w:val="20"/>
          <w:lang w:val="en-US"/>
        </w:rPr>
        <w:t>式中：</w:t>
      </w:r>
      <w:r>
        <w:rPr>
          <w:position w:val="-12"/>
          <w:sz w:val="20"/>
        </w:rPr>
        <w:object>
          <v:shape id="_x0000_i1030" o:spt="75" type="#_x0000_t75" style="height:16.5pt;width:18.75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9">
            <o:LockedField>false</o:LockedField>
          </o:OLEObject>
        </w:object>
      </w:r>
      <w:r>
        <w:rPr>
          <w:rFonts w:hint="eastAsia"/>
          <w:sz w:val="20"/>
        </w:rPr>
        <w:t>—</w:t>
      </w:r>
      <w:r>
        <w:rPr>
          <w:rFonts w:hint="eastAsia"/>
          <w:kern w:val="2"/>
          <w:sz w:val="20"/>
          <w:lang w:val="en-US"/>
        </w:rPr>
        <w:t>撞击声隔声计权单值评价量；</w:t>
      </w:r>
    </w:p>
    <w:p>
      <w:pPr>
        <w:pStyle w:val="3"/>
        <w:ind w:left="900" w:leftChars="500" w:firstLine="600" w:firstLineChars="300"/>
        <w:rPr>
          <w:kern w:val="2"/>
          <w:sz w:val="20"/>
          <w:lang w:val="en-US"/>
        </w:rPr>
      </w:pPr>
      <w:r>
        <w:rPr>
          <w:position w:val="-12"/>
          <w:sz w:val="20"/>
        </w:rPr>
        <w:object>
          <v:shape id="_x0000_i1031" o:spt="75" type="#_x0000_t75" style="height:16.5pt;width:12pt;" o:ole="t" filled="f" o:preferrelative="t" stroked="f" coordsize="21600,21600">
            <v:path/>
            <v:fill on="f" focussize="0,0"/>
            <v:stroke on="f" joinstyle="miter"/>
            <v:imagedata r:id="rId26" o:title=""/>
            <o:lock v:ext="edit" aspectratio="t"/>
            <w10:wrap type="none"/>
            <w10:anchorlock/>
          </v:shape>
          <o:OLEObject Type="Embed" ProgID="Equation.DSMT4" ShapeID="_x0000_i1031" DrawAspect="Content" ObjectID="_1468075731" r:id="rId30">
            <o:LockedField>false</o:LockedField>
          </o:OLEObject>
        </w:object>
      </w:r>
      <w:r>
        <w:rPr>
          <w:rFonts w:hint="eastAsia"/>
          <w:sz w:val="20"/>
        </w:rPr>
        <w:t xml:space="preserve">— </w:t>
      </w:r>
      <w:r>
        <w:rPr>
          <w:rFonts w:hint="eastAsia"/>
          <w:kern w:val="2"/>
          <w:sz w:val="20"/>
          <w:lang w:val="en-US"/>
        </w:rPr>
        <w:t>第i个频带的撞击声压级，精确到0.1dB。</w:t>
      </w:r>
    </w:p>
    <w:p>
      <w:pPr>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倍频程频率</w:t>
            </w:r>
          </w:p>
        </w:tc>
        <w:tc>
          <w:tcPr>
            <w:tcW w:w="1416" w:type="dxa"/>
            <w:shd w:val="clear" w:color="auto" w:fill="D9D9D9"/>
            <w:vAlign w:val="center"/>
          </w:tcPr>
          <w:p>
            <w:pPr>
              <w:spacing w:line="360" w:lineRule="exact"/>
              <w:jc w:val="center"/>
            </w:pPr>
            <w:r>
              <w:rPr>
                <w:rFonts w:hint="eastAsia"/>
              </w:rPr>
              <w:t>125</w:t>
            </w:r>
            <w:r>
              <w:t>Hz</w:t>
            </w:r>
          </w:p>
        </w:tc>
        <w:tc>
          <w:tcPr>
            <w:tcW w:w="1416" w:type="dxa"/>
            <w:shd w:val="clear" w:color="auto" w:fill="D9D9D9"/>
            <w:vAlign w:val="center"/>
          </w:tcPr>
          <w:p>
            <w:pPr>
              <w:spacing w:line="360" w:lineRule="exact"/>
              <w:jc w:val="center"/>
            </w:pPr>
            <w:r>
              <w:rPr>
                <w:rFonts w:hint="eastAsia"/>
              </w:rPr>
              <w:t>250</w:t>
            </w:r>
            <w:r>
              <w:t xml:space="preserve"> Hz</w:t>
            </w:r>
          </w:p>
        </w:tc>
        <w:tc>
          <w:tcPr>
            <w:tcW w:w="1416" w:type="dxa"/>
            <w:shd w:val="clear" w:color="auto" w:fill="D9D9D9"/>
            <w:vAlign w:val="center"/>
          </w:tcPr>
          <w:p>
            <w:pPr>
              <w:spacing w:line="360" w:lineRule="exact"/>
              <w:jc w:val="center"/>
            </w:pPr>
            <w:r>
              <w:rPr>
                <w:rFonts w:hint="eastAsia"/>
              </w:rPr>
              <w:t>500</w:t>
            </w:r>
            <w:r>
              <w:t xml:space="preserve"> Hz</w:t>
            </w:r>
          </w:p>
        </w:tc>
        <w:tc>
          <w:tcPr>
            <w:tcW w:w="1416" w:type="dxa"/>
            <w:shd w:val="clear" w:color="auto" w:fill="D9D9D9"/>
            <w:vAlign w:val="center"/>
          </w:tcPr>
          <w:p>
            <w:pPr>
              <w:spacing w:line="360" w:lineRule="exact"/>
              <w:jc w:val="center"/>
            </w:pPr>
            <w:r>
              <w:rPr>
                <w:rFonts w:hint="eastAsia"/>
              </w:rPr>
              <w:t>1000</w:t>
            </w:r>
            <w:r>
              <w:t xml:space="preserve"> Hz</w:t>
            </w:r>
          </w:p>
        </w:tc>
        <w:tc>
          <w:tcPr>
            <w:tcW w:w="1418" w:type="dxa"/>
            <w:shd w:val="clear" w:color="auto" w:fill="D9D9D9"/>
            <w:vAlign w:val="center"/>
          </w:tcPr>
          <w:p>
            <w:pPr>
              <w:spacing w:line="360" w:lineRule="exact"/>
              <w:jc w:val="center"/>
            </w:pPr>
            <w:r>
              <w:rPr>
                <w:rFonts w:hint="eastAsia"/>
              </w:rPr>
              <w:t>2000</w:t>
            </w:r>
            <w: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空气声基准值</w:t>
            </w:r>
          </w:p>
        </w:tc>
        <w:tc>
          <w:tcPr>
            <w:tcW w:w="1416" w:type="dxa"/>
            <w:vAlign w:val="center"/>
          </w:tcPr>
          <w:p>
            <w:pPr>
              <w:spacing w:line="360" w:lineRule="exact"/>
              <w:jc w:val="center"/>
            </w:pPr>
            <w:r>
              <w:rPr>
                <w:rFonts w:hint="eastAsia"/>
              </w:rPr>
              <w:t>-16</w:t>
            </w:r>
          </w:p>
        </w:tc>
        <w:tc>
          <w:tcPr>
            <w:tcW w:w="1416" w:type="dxa"/>
            <w:vAlign w:val="center"/>
          </w:tcPr>
          <w:p>
            <w:pPr>
              <w:spacing w:line="360" w:lineRule="exact"/>
              <w:jc w:val="center"/>
            </w:pPr>
            <w:r>
              <w:rPr>
                <w:rFonts w:hint="eastAsia"/>
              </w:rPr>
              <w:t>-7</w:t>
            </w:r>
          </w:p>
        </w:tc>
        <w:tc>
          <w:tcPr>
            <w:tcW w:w="1416" w:type="dxa"/>
            <w:vAlign w:val="center"/>
          </w:tcPr>
          <w:p>
            <w:pPr>
              <w:spacing w:line="360" w:lineRule="exact"/>
              <w:jc w:val="center"/>
            </w:pPr>
            <w:r>
              <w:rPr>
                <w:rFonts w:hint="eastAsia"/>
              </w:rPr>
              <w:t>0</w:t>
            </w:r>
          </w:p>
        </w:tc>
        <w:tc>
          <w:tcPr>
            <w:tcW w:w="1416" w:type="dxa"/>
            <w:vAlign w:val="center"/>
          </w:tcPr>
          <w:p>
            <w:pPr>
              <w:spacing w:line="360" w:lineRule="exact"/>
              <w:jc w:val="center"/>
            </w:pPr>
            <w:r>
              <w:rPr>
                <w:rFonts w:hint="eastAsia"/>
              </w:rPr>
              <w:t>3</w:t>
            </w:r>
          </w:p>
        </w:tc>
        <w:tc>
          <w:tcPr>
            <w:tcW w:w="1418" w:type="dxa"/>
            <w:vAlign w:val="center"/>
          </w:tcPr>
          <w:p>
            <w:pPr>
              <w:spacing w:line="360" w:lineRule="exact"/>
              <w:jc w:val="center"/>
            </w:pPr>
            <w:r>
              <w:rPr>
                <w:rFonts w:hint="eastAsia"/>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撞击声基准值</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0</w:t>
            </w:r>
          </w:p>
        </w:tc>
        <w:tc>
          <w:tcPr>
            <w:tcW w:w="1416" w:type="dxa"/>
            <w:vAlign w:val="center"/>
          </w:tcPr>
          <w:p>
            <w:pPr>
              <w:spacing w:line="360" w:lineRule="exact"/>
              <w:jc w:val="center"/>
            </w:pPr>
            <w:r>
              <w:rPr>
                <w:rFonts w:hint="eastAsia"/>
                <w:lang w:val="en-US"/>
              </w:rPr>
              <w:t>-3</w:t>
            </w:r>
          </w:p>
        </w:tc>
        <w:tc>
          <w:tcPr>
            <w:tcW w:w="1418" w:type="dxa"/>
            <w:vAlign w:val="center"/>
          </w:tcPr>
          <w:p>
            <w:pPr>
              <w:spacing w:line="360" w:lineRule="exact"/>
              <w:jc w:val="center"/>
            </w:pPr>
            <w:r>
              <w:rPr>
                <w:rFonts w:hint="eastAsia"/>
                <w:lang w:val="en-US"/>
              </w:rPr>
              <w:t>-16</w:t>
            </w:r>
          </w:p>
        </w:tc>
      </w:tr>
    </w:tbl>
    <w:p>
      <w:pPr>
        <w:pStyle w:val="4"/>
      </w:pPr>
      <w:bookmarkStart w:id="32" w:name="_Toc23249"/>
      <w:r>
        <w:rPr>
          <w:rFonts w:hint="eastAsia"/>
        </w:rPr>
        <w:t>频谱修正量</w:t>
      </w:r>
      <w:bookmarkEnd w:id="32"/>
    </w:p>
    <w:p>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pPr>
        <w:pStyle w:val="3"/>
        <w:ind w:firstLine="420" w:firstLineChars="20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center"/>
      </w:pPr>
      <w:r>
        <w:rPr>
          <w:lang w:val="en-US"/>
        </w:rPr>
        <w:drawing>
          <wp:inline distT="0" distB="0" distL="0" distR="0">
            <wp:extent cx="1964055" cy="27178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31"/>
                    <a:stretch>
                      <a:fillRect/>
                    </a:stretch>
                  </pic:blipFill>
                  <pic:spPr>
                    <a:xfrm>
                      <a:off x="0" y="0"/>
                      <a:ext cx="2104989" cy="291685"/>
                    </a:xfrm>
                    <a:prstGeom prst="rect">
                      <a:avLst/>
                    </a:prstGeom>
                  </pic:spPr>
                </pic:pic>
              </a:graphicData>
            </a:graphic>
          </wp:inline>
        </w:drawing>
      </w:r>
    </w:p>
    <w:p>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Ctr</w:t>
      </w:r>
      <w:r>
        <w:rPr>
          <w:rFonts w:hint="eastAsia"/>
          <w:sz w:val="20"/>
          <w:szCs w:val="20"/>
          <w:lang w:val="en-US"/>
        </w:rPr>
        <w:t>的频谱</w:t>
      </w:r>
      <w:r>
        <w:rPr>
          <w:sz w:val="20"/>
          <w:szCs w:val="20"/>
          <w:lang w:val="en-US"/>
        </w:rPr>
        <w:t>2</w:t>
      </w:r>
      <w:r>
        <w:rPr>
          <w:rFonts w:hint="eastAsia"/>
          <w:sz w:val="20"/>
          <w:szCs w:val="20"/>
          <w:lang w:val="en-US"/>
        </w:rPr>
        <w:t>；</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pPr>
        <w:pStyle w:val="3"/>
        <w:ind w:firstLine="420" w:firstLineChars="200"/>
        <w:rPr>
          <w:lang w:val="en-US"/>
        </w:rPr>
      </w:pPr>
      <w:r>
        <w:rPr>
          <w:rFonts w:hint="eastAsia"/>
          <w:lang w:val="en-US"/>
        </w:rPr>
        <w:t>频谱修正量在计算时应精确到0.1dB，得出的结果应修约为整数。</w:t>
      </w:r>
    </w:p>
    <w:p>
      <w:pPr>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spacing w:line="360" w:lineRule="exact"/>
              <w:jc w:val="center"/>
              <w:rPr>
                <w:sz w:val="18"/>
                <w:szCs w:val="18"/>
                <w:lang w:val="en-US"/>
              </w:rPr>
            </w:pPr>
            <w:r>
              <w:rPr>
                <w:color w:val="000000"/>
                <w:sz w:val="18"/>
                <w:szCs w:val="18"/>
              </w:rPr>
              <w:t>频率</w:t>
            </w:r>
          </w:p>
        </w:tc>
        <w:tc>
          <w:tcPr>
            <w:tcW w:w="1227" w:type="dxa"/>
            <w:shd w:val="clear" w:color="auto" w:fill="D9D9D9"/>
            <w:vAlign w:val="center"/>
          </w:tcPr>
          <w:p>
            <w:pPr>
              <w:pStyle w:val="3"/>
              <w:spacing w:line="360" w:lineRule="exact"/>
              <w:jc w:val="center"/>
              <w:rPr>
                <w:sz w:val="18"/>
                <w:szCs w:val="18"/>
                <w:lang w:val="en-US"/>
              </w:rPr>
            </w:pPr>
            <w:r>
              <w:rPr>
                <w:color w:val="000000"/>
                <w:sz w:val="18"/>
                <w:szCs w:val="18"/>
              </w:rPr>
              <w:t>125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250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500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1000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color w:val="000000"/>
                <w:sz w:val="18"/>
                <w:szCs w:val="18"/>
              </w:rPr>
            </w:pPr>
            <w:r>
              <w:rPr>
                <w:color w:val="000000"/>
                <w:sz w:val="18"/>
                <w:szCs w:val="18"/>
              </w:rPr>
              <w:t>计算</w:t>
            </w:r>
            <w:r>
              <w:rPr>
                <w:kern w:val="2"/>
                <w:sz w:val="18"/>
                <w:szCs w:val="18"/>
                <w:lang w:val="en-US"/>
              </w:rPr>
              <w:t>粉红噪声</w:t>
            </w:r>
            <w:r>
              <w:rPr>
                <w:color w:val="000000"/>
                <w:sz w:val="18"/>
                <w:szCs w:val="18"/>
              </w:rPr>
              <w:t>C的频谱1</w:t>
            </w:r>
          </w:p>
        </w:tc>
        <w:tc>
          <w:tcPr>
            <w:tcW w:w="1227" w:type="dxa"/>
            <w:vAlign w:val="center"/>
          </w:tcPr>
          <w:p>
            <w:pPr>
              <w:pStyle w:val="3"/>
              <w:spacing w:line="360" w:lineRule="exact"/>
              <w:jc w:val="center"/>
              <w:rPr>
                <w:color w:val="000000"/>
                <w:sz w:val="18"/>
                <w:szCs w:val="18"/>
              </w:rPr>
            </w:pPr>
            <w:r>
              <w:rPr>
                <w:color w:val="000000"/>
                <w:sz w:val="18"/>
                <w:szCs w:val="18"/>
              </w:rPr>
              <w:t>-21</w:t>
            </w:r>
          </w:p>
        </w:tc>
        <w:tc>
          <w:tcPr>
            <w:tcW w:w="1228"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-8</w:t>
            </w:r>
          </w:p>
        </w:tc>
        <w:tc>
          <w:tcPr>
            <w:tcW w:w="1228" w:type="dxa"/>
            <w:vAlign w:val="center"/>
          </w:tcPr>
          <w:p>
            <w:pPr>
              <w:pStyle w:val="3"/>
              <w:spacing w:line="360" w:lineRule="exact"/>
              <w:jc w:val="center"/>
              <w:rPr>
                <w:color w:val="000000"/>
                <w:sz w:val="18"/>
                <w:szCs w:val="18"/>
              </w:rPr>
            </w:pPr>
            <w:r>
              <w:rPr>
                <w:color w:val="000000"/>
                <w:sz w:val="18"/>
                <w:szCs w:val="18"/>
              </w:rPr>
              <w:t>-5</w:t>
            </w:r>
          </w:p>
        </w:tc>
        <w:tc>
          <w:tcPr>
            <w:tcW w:w="1228"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-10</w:t>
            </w:r>
          </w:p>
        </w:tc>
        <w:tc>
          <w:tcPr>
            <w:tcW w:w="1228" w:type="dxa"/>
            <w:vAlign w:val="center"/>
          </w:tcPr>
          <w:p>
            <w:pPr>
              <w:pStyle w:val="3"/>
              <w:spacing w:line="360" w:lineRule="exact"/>
              <w:jc w:val="center"/>
              <w:rPr>
                <w:color w:val="000000"/>
                <w:sz w:val="18"/>
                <w:szCs w:val="18"/>
              </w:rPr>
            </w:pPr>
            <w:r>
              <w:rPr>
                <w:color w:val="000000"/>
                <w:sz w:val="18"/>
                <w:szCs w:val="18"/>
              </w:rPr>
              <w:t>-7</w:t>
            </w:r>
          </w:p>
        </w:tc>
        <w:tc>
          <w:tcPr>
            <w:tcW w:w="1228" w:type="dxa"/>
            <w:vAlign w:val="center"/>
          </w:tcPr>
          <w:p>
            <w:pPr>
              <w:pStyle w:val="3"/>
              <w:spacing w:line="360" w:lineRule="exact"/>
              <w:jc w:val="center"/>
              <w:rPr>
                <w:color w:val="000000"/>
                <w:sz w:val="18"/>
                <w:szCs w:val="18"/>
              </w:rPr>
            </w:pPr>
            <w:r>
              <w:rPr>
                <w:color w:val="000000"/>
                <w:sz w:val="18"/>
                <w:szCs w:val="18"/>
              </w:rPr>
              <w:t>-4</w:t>
            </w:r>
          </w:p>
        </w:tc>
        <w:tc>
          <w:tcPr>
            <w:tcW w:w="1228" w:type="dxa"/>
            <w:vAlign w:val="center"/>
          </w:tcPr>
          <w:p>
            <w:pPr>
              <w:pStyle w:val="3"/>
              <w:spacing w:line="360" w:lineRule="exact"/>
              <w:jc w:val="center"/>
              <w:rPr>
                <w:color w:val="000000"/>
                <w:sz w:val="18"/>
                <w:szCs w:val="18"/>
              </w:rPr>
            </w:pPr>
            <w:r>
              <w:rPr>
                <w:color w:val="000000"/>
                <w:sz w:val="18"/>
                <w:szCs w:val="18"/>
              </w:rPr>
              <w:t>-6</w:t>
            </w:r>
          </w:p>
        </w:tc>
      </w:tr>
    </w:tbl>
    <w:p>
      <w:pPr>
        <w:pStyle w:val="3"/>
        <w:ind w:firstLine="420" w:firstLineChars="200"/>
        <w:rPr>
          <w:lang w:val="en-US"/>
        </w:rPr>
      </w:pPr>
    </w:p>
    <w:p>
      <w:pPr>
        <w:ind w:firstLine="480"/>
        <w:jc w:val="center"/>
        <w:rPr>
          <w:rFonts w:ascii="宋体" w:hAnsi="宋体"/>
        </w:rPr>
      </w:pPr>
    </w:p>
    <w:p>
      <w:pPr>
        <w:pStyle w:val="2"/>
        <w:ind w:left="669" w:hanging="669"/>
      </w:pPr>
      <w:bookmarkStart w:id="33" w:name="_Toc6368"/>
      <w:r>
        <w:rPr>
          <w:rFonts w:hint="eastAsia"/>
        </w:rPr>
        <w:t>构件空气声隔声性能</w:t>
      </w:r>
      <w:bookmarkEnd w:id="33"/>
    </w:p>
    <w:p>
      <w:pPr>
        <w:pStyle w:val="4"/>
      </w:pPr>
      <w:bookmarkStart w:id="34" w:name="_Toc6880"/>
      <w:r>
        <w:rPr>
          <w:rFonts w:hint="eastAsia"/>
        </w:rPr>
        <w:t>墙板的空气声隔声量</w:t>
      </w:r>
      <w:bookmarkEnd w:id="34"/>
    </w:p>
    <w:p>
      <w:pPr>
        <w:pStyle w:val="5"/>
      </w:pPr>
      <w:bookmarkStart w:id="35" w:name="_Toc200"/>
      <w:r>
        <w:rPr>
          <w:rFonts w:hint="eastAsia"/>
        </w:rPr>
        <w:t>墙板构造做法</w:t>
      </w:r>
      <w:bookmarkEnd w:id="35"/>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pStyle w:val="3"/>
        <w:ind w:firstLine="420" w:firstLineChars="200"/>
      </w:pPr>
      <w:r>
        <w:rPr>
          <w:rFonts w:hint="eastAsia"/>
        </w:rPr>
        <w:t>本项目</w:t>
      </w:r>
      <w:r>
        <w:t>中</w:t>
      </w:r>
      <w:r>
        <w:rPr>
          <w:rFonts w:hint="eastAsia"/>
        </w:rPr>
        <w:t>建筑围护结构详细信息可见下表：</w:t>
      </w:r>
    </w:p>
    <w:p>
      <w:pPr>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3537"/>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外墙</w:t>
            </w:r>
          </w:p>
        </w:tc>
        <w:tc>
          <w:tcPr>
            <w:vAlign w:val="center"/>
          </w:tcPr>
          <w:p>
            <w:r>
              <w:t>石灰水泥砂浆（混合砂浆）</w:t>
            </w:r>
          </w:p>
        </w:tc>
        <w:tc>
          <w:tcPr>
            <w:vAlign w:val="center"/>
          </w:tcPr>
          <w:p>
            <w:pPr>
              <w:jc w:val="center"/>
            </w:pPr>
            <w:r>
              <w:t>2</w:t>
            </w:r>
          </w:p>
        </w:tc>
        <w:tc>
          <w:tcPr>
            <w:vAlign w:val="center"/>
          </w:tcPr>
          <w:p>
            <w:pPr>
              <w:jc w:val="center"/>
            </w:pPr>
            <w:r>
              <w:t>1700</w:t>
            </w:r>
          </w:p>
        </w:tc>
        <w:tc>
          <w:tcPr>
            <w:vAlign w:val="center"/>
          </w:tcPr>
          <w:p>
            <w:pPr>
              <w:jc w:val="center"/>
            </w:pPr>
            <w:r>
              <w:t>3</w:t>
            </w:r>
          </w:p>
        </w:tc>
        <w:tc>
          <w:tcPr>
            <w:vMerge w:val="restart"/>
            <w:vAlign w:val="center"/>
          </w:tcPr>
          <w:p>
            <w:pPr>
              <w:jc w:val="center"/>
            </w:pPr>
            <w:r>
              <w:t>160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AAC</w:t>
            </w:r>
          </w:p>
        </w:tc>
        <w:tc>
          <w:tcPr>
            <w:vAlign w:val="center"/>
          </w:tcPr>
          <w:p>
            <w:pPr>
              <w:jc w:val="center"/>
            </w:pPr>
            <w:r>
              <w:t>300</w:t>
            </w:r>
          </w:p>
        </w:tc>
        <w:tc>
          <w:tcPr>
            <w:vAlign w:val="center"/>
          </w:tcPr>
          <w:p>
            <w:pPr>
              <w:jc w:val="center"/>
            </w:pPr>
            <w:r>
              <w:t>510</w:t>
            </w:r>
          </w:p>
        </w:tc>
        <w:tc>
          <w:tcPr>
            <w:vAlign w:val="center"/>
          </w:tcPr>
          <w:p>
            <w:pPr>
              <w:jc w:val="center"/>
            </w:pPr>
            <w:r>
              <w:t>153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玻化微珠保温浆料</w:t>
            </w:r>
          </w:p>
        </w:tc>
        <w:tc>
          <w:tcPr>
            <w:vAlign w:val="center"/>
          </w:tcPr>
          <w:p>
            <w:pPr>
              <w:jc w:val="center"/>
            </w:pPr>
            <w:r>
              <w:t>10</w:t>
            </w:r>
          </w:p>
        </w:tc>
        <w:tc>
          <w:tcPr>
            <w:vAlign w:val="center"/>
          </w:tcPr>
          <w:p>
            <w:pPr>
              <w:jc w:val="center"/>
            </w:pPr>
            <w:r>
              <w:t>350</w:t>
            </w:r>
          </w:p>
        </w:tc>
        <w:tc>
          <w:tcPr>
            <w:vAlign w:val="center"/>
          </w:tcPr>
          <w:p>
            <w:pPr>
              <w:jc w:val="center"/>
            </w:pPr>
            <w:r>
              <w:t>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隔墙1</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568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pPr>
              <w:jc w:val="center"/>
            </w:pPr>
            <w:r>
              <w:t>200</w:t>
            </w:r>
          </w:p>
        </w:tc>
        <w:tc>
          <w:tcPr>
            <w:vAlign w:val="center"/>
          </w:tcPr>
          <w:p>
            <w:pPr>
              <w:jc w:val="center"/>
            </w:pPr>
            <w:r>
              <w:t>2500</w:t>
            </w:r>
          </w:p>
        </w:tc>
        <w:tc>
          <w:tcPr>
            <w:vAlign w:val="center"/>
          </w:tcPr>
          <w:p>
            <w:pPr>
              <w:jc w:val="center"/>
            </w:pPr>
            <w:r>
              <w:t>500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隔墙2</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579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玻化微珠保温浆料</w:t>
            </w:r>
          </w:p>
        </w:tc>
        <w:tc>
          <w:tcPr>
            <w:vAlign w:val="center"/>
          </w:tcPr>
          <w:p>
            <w:pPr>
              <w:jc w:val="center"/>
            </w:pPr>
            <w:r>
              <w:t>30</w:t>
            </w:r>
          </w:p>
        </w:tc>
        <w:tc>
          <w:tcPr>
            <w:vAlign w:val="center"/>
          </w:tcPr>
          <w:p>
            <w:pPr>
              <w:jc w:val="center"/>
            </w:pPr>
            <w:r>
              <w:t>350</w:t>
            </w:r>
          </w:p>
        </w:tc>
        <w:tc>
          <w:tcPr>
            <w:vAlign w:val="center"/>
          </w:tcPr>
          <w:p>
            <w:pPr>
              <w:jc w:val="center"/>
            </w:pPr>
            <w:r>
              <w:t>11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pPr>
              <w:jc w:val="center"/>
            </w:pPr>
            <w:r>
              <w:t>200</w:t>
            </w:r>
          </w:p>
        </w:tc>
        <w:tc>
          <w:tcPr>
            <w:vAlign w:val="center"/>
          </w:tcPr>
          <w:p>
            <w:pPr>
              <w:jc w:val="center"/>
            </w:pPr>
            <w:r>
              <w:t>2500</w:t>
            </w:r>
          </w:p>
        </w:tc>
        <w:tc>
          <w:tcPr>
            <w:vAlign w:val="center"/>
          </w:tcPr>
          <w:p>
            <w:pPr>
              <w:jc w:val="center"/>
            </w:pPr>
            <w:r>
              <w:t>500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屋顶</w:t>
            </w:r>
          </w:p>
        </w:tc>
        <w:tc>
          <w:tcPr>
            <w:vAlign w:val="center"/>
          </w:tcPr>
          <w:p>
            <w:r>
              <w:t>碎石、卵石混凝土(ρ=2300)</w:t>
            </w:r>
          </w:p>
        </w:tc>
        <w:tc>
          <w:tcPr>
            <w:vAlign w:val="center"/>
          </w:tcPr>
          <w:p>
            <w:pPr>
              <w:jc w:val="center"/>
            </w:pPr>
            <w:r>
              <w:t>40</w:t>
            </w:r>
          </w:p>
        </w:tc>
        <w:tc>
          <w:tcPr>
            <w:vAlign w:val="center"/>
          </w:tcPr>
          <w:p>
            <w:pPr>
              <w:jc w:val="center"/>
            </w:pPr>
            <w:r>
              <w:t>2300</w:t>
            </w:r>
          </w:p>
        </w:tc>
        <w:tc>
          <w:tcPr>
            <w:vAlign w:val="center"/>
          </w:tcPr>
          <w:p>
            <w:pPr>
              <w:jc w:val="center"/>
            </w:pPr>
            <w:r>
              <w:t>92</w:t>
            </w:r>
          </w:p>
        </w:tc>
        <w:tc>
          <w:tcPr>
            <w:vMerge w:val="restart"/>
            <w:vAlign w:val="center"/>
          </w:tcPr>
          <w:p>
            <w:pPr>
              <w:jc w:val="center"/>
            </w:pPr>
            <w:r>
              <w:t>496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碎石、卵石混凝土(ρ=2300)</w:t>
            </w:r>
          </w:p>
        </w:tc>
        <w:tc>
          <w:tcPr>
            <w:vAlign w:val="center"/>
          </w:tcPr>
          <w:p>
            <w:pPr>
              <w:jc w:val="center"/>
            </w:pPr>
            <w:r>
              <w:t>30</w:t>
            </w:r>
          </w:p>
        </w:tc>
        <w:tc>
          <w:tcPr>
            <w:vAlign w:val="center"/>
          </w:tcPr>
          <w:p>
            <w:pPr>
              <w:jc w:val="center"/>
            </w:pPr>
            <w:r>
              <w:t>2300</w:t>
            </w:r>
          </w:p>
        </w:tc>
        <w:tc>
          <w:tcPr>
            <w:vAlign w:val="center"/>
          </w:tcPr>
          <w:p>
            <w:pPr>
              <w:jc w:val="center"/>
            </w:pPr>
            <w:r>
              <w:t>69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挤塑聚苯乙烯泡沫塑料（带表皮）</w:t>
            </w:r>
          </w:p>
        </w:tc>
        <w:tc>
          <w:tcPr>
            <w:vAlign w:val="center"/>
          </w:tcPr>
          <w:p>
            <w:pPr>
              <w:jc w:val="center"/>
            </w:pPr>
            <w:r>
              <w:t>80</w:t>
            </w:r>
          </w:p>
        </w:tc>
        <w:tc>
          <w:tcPr>
            <w:vAlign w:val="center"/>
          </w:tcPr>
          <w:p>
            <w:pPr>
              <w:jc w:val="center"/>
            </w:pPr>
            <w:r>
              <w:t>35</w:t>
            </w:r>
          </w:p>
        </w:tc>
        <w:tc>
          <w:tcPr>
            <w:vAlign w:val="center"/>
          </w:tcPr>
          <w:p>
            <w:pPr>
              <w:jc w:val="center"/>
            </w:pPr>
            <w:r>
              <w:t>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bl>
    <w:p>
      <w:pPr>
        <w:pStyle w:val="13"/>
        <w:ind w:firstLine="420" w:firstLineChars="0"/>
        <w:jc w:val="center"/>
        <w:rPr>
          <w:rFonts w:ascii="宋体" w:hAnsi="宋体" w:eastAsia="宋体"/>
          <w:color w:val="000000"/>
          <w:sz w:val="21"/>
          <w:szCs w:val="21"/>
        </w:rPr>
      </w:pPr>
      <w:bookmarkStart w:id="36" w:name="围护结构材料清单"/>
      <w:bookmarkEnd w:id="36"/>
    </w:p>
    <w:p>
      <w:pPr>
        <w:pStyle w:val="5"/>
      </w:pPr>
      <w:bookmarkStart w:id="37" w:name="_Toc27145"/>
      <w:r>
        <w:rPr>
          <w:rFonts w:hint="eastAsia"/>
        </w:rPr>
        <w:t>墙板空气声隔声性能</w:t>
      </w:r>
      <w:bookmarkEnd w:id="37"/>
    </w:p>
    <w:p>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pPr>
        <w:pStyle w:val="3"/>
        <w:ind w:left="840"/>
        <w:jc w:val="center"/>
        <w:rPr>
          <w:lang w:val="en-US"/>
        </w:rPr>
      </w:pPr>
      <w:r>
        <w:rPr>
          <w:i/>
          <w:lang w:val="en-US"/>
        </w:rPr>
        <w:t>R</w:t>
      </w:r>
      <w:r>
        <w:rPr>
          <w:lang w:val="en-US"/>
        </w:rPr>
        <w:t>=</w:t>
      </w:r>
      <w:bookmarkStart w:id="38" w:name="公式A1"/>
      <w:r>
        <w:t>23</w:t>
      </w:r>
      <w:bookmarkEnd w:id="38"/>
      <w:r>
        <w:rPr>
          <w:rFonts w:hint="eastAsia"/>
          <w:i/>
          <w:lang w:val="en-US"/>
        </w:rPr>
        <w:t>lg</w:t>
      </w:r>
      <w:r>
        <w:rPr>
          <w:lang w:val="en-US"/>
        </w:rPr>
        <w:t xml:space="preserve"> </w:t>
      </w:r>
      <w:r>
        <w:rPr>
          <w:rFonts w:hint="eastAsia"/>
          <w:lang w:val="en-US"/>
        </w:rPr>
        <w:t>m</w:t>
      </w:r>
      <w:r>
        <w:rPr>
          <w:lang w:val="en-US"/>
        </w:rPr>
        <w:t>+</w:t>
      </w:r>
      <w:bookmarkStart w:id="39" w:name="公式B1"/>
      <w:r>
        <w:t>11</w:t>
      </w:r>
      <w:bookmarkEnd w:id="39"/>
      <w:r>
        <w:rPr>
          <w:rFonts w:hint="eastAsia"/>
          <w:i/>
          <w:lang w:val="en-US"/>
        </w:rPr>
        <w:t>lg</w:t>
      </w:r>
      <w:r>
        <w:rPr>
          <w:i/>
          <w:lang w:val="en-US"/>
        </w:rPr>
        <w:t xml:space="preserve"> </w:t>
      </w:r>
      <w:r>
        <w:rPr>
          <w:rFonts w:hint="eastAsia"/>
          <w:lang w:val="en-US"/>
        </w:rPr>
        <w:t>f</w:t>
      </w:r>
      <w:bookmarkStart w:id="40" w:name="公式C1"/>
      <w:r>
        <w:t>-41</w:t>
      </w:r>
      <w:bookmarkEnd w:id="40"/>
      <w:r>
        <w:rPr>
          <w:lang w:val="en-US"/>
        </w:rPr>
        <w:t xml:space="preserve">      （m</w:t>
      </w:r>
      <w:r>
        <w:rPr>
          <w:rFonts w:cs="宋体"/>
          <w:lang w:val="en-US"/>
        </w:rPr>
        <w:t>≥200kg/m</w:t>
      </w:r>
      <w:r>
        <w:rPr>
          <w:rFonts w:cs="宋体"/>
          <w:vertAlign w:val="superscript"/>
          <w:lang w:val="en-US"/>
        </w:rPr>
        <w:t>2</w:t>
      </w:r>
      <w:r>
        <w:rPr>
          <w:lang w:val="en-US"/>
        </w:rPr>
        <w:t>）</w:t>
      </w:r>
    </w:p>
    <w:p>
      <w:pPr>
        <w:pStyle w:val="3"/>
        <w:ind w:left="840"/>
        <w:jc w:val="center"/>
        <w:rPr>
          <w:lang w:val="en-US"/>
        </w:rPr>
      </w:pPr>
      <w:r>
        <w:rPr>
          <w:i/>
          <w:lang w:val="en-US"/>
        </w:rPr>
        <w:t>R</w:t>
      </w:r>
      <w:r>
        <w:rPr>
          <w:lang w:val="en-US"/>
        </w:rPr>
        <w:t>=</w:t>
      </w:r>
      <w:bookmarkStart w:id="41" w:name="公式A2"/>
      <w:r>
        <w:t>13</w:t>
      </w:r>
      <w:bookmarkEnd w:id="41"/>
      <w:r>
        <w:rPr>
          <w:rFonts w:hint="eastAsia"/>
          <w:i/>
          <w:lang w:val="en-US"/>
        </w:rPr>
        <w:t>lg</w:t>
      </w:r>
      <w:r>
        <w:rPr>
          <w:lang w:val="en-US"/>
        </w:rPr>
        <w:t xml:space="preserve"> </w:t>
      </w:r>
      <w:r>
        <w:rPr>
          <w:rFonts w:hint="eastAsia"/>
          <w:lang w:val="en-US"/>
        </w:rPr>
        <w:t>m</w:t>
      </w:r>
      <w:r>
        <w:rPr>
          <w:lang w:val="en-US"/>
        </w:rPr>
        <w:t>+</w:t>
      </w:r>
      <w:bookmarkStart w:id="42" w:name="公式B2"/>
      <w:r>
        <w:t>11</w:t>
      </w:r>
      <w:bookmarkEnd w:id="42"/>
      <w:r>
        <w:rPr>
          <w:rFonts w:hint="eastAsia"/>
          <w:i/>
          <w:lang w:val="en-US"/>
        </w:rPr>
        <w:t>lg</w:t>
      </w:r>
      <w:r>
        <w:rPr>
          <w:i/>
          <w:lang w:val="en-US"/>
        </w:rPr>
        <w:t xml:space="preserve"> </w:t>
      </w:r>
      <w:r>
        <w:rPr>
          <w:rFonts w:hint="eastAsia"/>
          <w:lang w:val="en-US"/>
        </w:rPr>
        <w:t>f</w:t>
      </w:r>
      <w:r>
        <w:rPr>
          <w:lang w:val="en-US"/>
        </w:rPr>
        <w:t xml:space="preserve"> </w:t>
      </w:r>
      <w:bookmarkStart w:id="43" w:name="公式C2"/>
      <w:r>
        <w:t>-18</w:t>
      </w:r>
      <w:bookmarkEnd w:id="43"/>
      <w:r>
        <w:rPr>
          <w:lang w:val="en-US"/>
        </w:rPr>
        <w:t xml:space="preserve">      （m</w:t>
      </w:r>
      <w:r>
        <w:rPr>
          <w:rFonts w:cs="宋体"/>
          <w:lang w:val="en-US"/>
        </w:rPr>
        <w:t>≤200kg/m</w:t>
      </w:r>
      <w:r>
        <w:rPr>
          <w:rFonts w:cs="宋体"/>
          <w:vertAlign w:val="superscript"/>
          <w:lang w:val="en-US"/>
        </w:rPr>
        <w:t>2</w:t>
      </w:r>
      <w:r>
        <w:rPr>
          <w:lang w:val="en-US"/>
        </w:rPr>
        <w:t>）</w:t>
      </w:r>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ind w:left="840"/>
        <w:rPr>
          <w:rFonts w:ascii="Times New Roman" w:hAnsi="Times New Roman" w:cs="Times New Roman"/>
        </w:rPr>
      </w:pPr>
    </w:p>
    <w:p>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pStyle w:val="3"/>
        <w:spacing w:after="156" w:afterLines="50"/>
        <w:ind w:firstLine="360" w:firstLineChars="200"/>
        <w:rPr>
          <w:rFonts w:ascii="黑体" w:hAnsi="黑体" w:eastAsia="黑体"/>
          <w:kern w:val="2"/>
          <w:sz w:val="18"/>
          <w:szCs w:val="18"/>
          <w:lang w:val="en-US"/>
        </w:rPr>
      </w:pPr>
      <w:r>
        <w:rPr>
          <w:rFonts w:ascii="黑体" w:hAnsi="黑体" w:eastAsia="黑体"/>
          <w:sz w:val="18"/>
          <w:szCs w:val="18"/>
        </w:rPr>
        <w:t>注：表</w:t>
      </w:r>
      <w:r>
        <w:rPr>
          <w:rFonts w:hint="eastAsia" w:ascii="黑体" w:hAnsi="黑体" w:eastAsia="黑体"/>
          <w:sz w:val="18"/>
          <w:szCs w:val="18"/>
        </w:rPr>
        <w:t>5</w:t>
      </w:r>
      <w:r>
        <w:rPr>
          <w:rFonts w:ascii="黑体" w:hAnsi="黑体" w:eastAsia="黑体"/>
          <w:sz w:val="18"/>
          <w:szCs w:val="18"/>
        </w:rPr>
        <w:t>.2中【隔声量来源】指明了计算采用的方法，“根据面密度计算”或“参照”相近构造的隔声量数据。</w:t>
      </w:r>
    </w:p>
    <w:p>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p>
      <w:pPr>
        <w:pStyle w:val="13"/>
        <w:ind w:firstLine="420" w:firstLineChars="0"/>
        <w:jc w:val="left"/>
        <w:rPr>
          <w:rFonts w:ascii="宋体" w:hAnsi="宋体" w:eastAsia="宋体"/>
          <w:kern w:val="0"/>
          <w:sz w:val="21"/>
          <w:szCs w:val="21"/>
        </w:rPr>
      </w:pPr>
      <w:bookmarkStart w:id="44" w:name="墙板空气声隔声量"/>
      <w:bookmarkEnd w:id="44"/>
      <w:r>
        <w:rPr>
          <w:rFonts w:ascii="宋体" w:hAnsi="宋体" w:eastAsia="宋体"/>
          <w:kern w:val="0"/>
          <w:sz w:val="21"/>
          <w:szCs w:val="21"/>
        </w:rPr>
        <w:t>本工程无此项评价</w:t>
      </w:r>
    </w:p>
    <w:p>
      <w:pPr>
        <w:pStyle w:val="3"/>
        <w:rPr>
          <w:lang w:val="en-US"/>
        </w:rPr>
      </w:pPr>
    </w:p>
    <w:p>
      <w:pPr>
        <w:pStyle w:val="4"/>
      </w:pPr>
      <w:bookmarkStart w:id="45" w:name="_Toc332"/>
      <w:r>
        <w:rPr>
          <w:rFonts w:hint="eastAsia"/>
        </w:rPr>
        <w:t>门窗的空气声隔声量</w:t>
      </w:r>
      <w:bookmarkEnd w:id="45"/>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pPr>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p>
      <w:pPr>
        <w:pStyle w:val="13"/>
        <w:ind w:firstLine="420" w:firstLineChars="0"/>
        <w:jc w:val="left"/>
        <w:rPr>
          <w:rFonts w:ascii="宋体" w:hAnsi="宋体" w:eastAsia="宋体"/>
          <w:kern w:val="0"/>
          <w:sz w:val="21"/>
          <w:szCs w:val="21"/>
        </w:rPr>
      </w:pPr>
      <w:bookmarkStart w:id="46" w:name="门窗空气声隔声量"/>
      <w:bookmarkEnd w:id="46"/>
      <w:r>
        <w:rPr>
          <w:rFonts w:ascii="宋体" w:hAnsi="宋体" w:eastAsia="宋体"/>
          <w:kern w:val="0"/>
          <w:sz w:val="21"/>
          <w:szCs w:val="21"/>
        </w:rPr>
        <w:t>本工程无此项评价</w:t>
      </w:r>
    </w:p>
    <w:p>
      <w:pPr>
        <w:pStyle w:val="2"/>
        <w:ind w:left="669" w:hanging="669"/>
      </w:pPr>
      <w:bookmarkStart w:id="47" w:name="_Toc5791"/>
      <w:r>
        <w:rPr>
          <w:rFonts w:hint="eastAsia"/>
        </w:rPr>
        <w:t>楼板撞击声隔声性能</w:t>
      </w:r>
      <w:bookmarkEnd w:id="47"/>
    </w:p>
    <w:p>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GB50118</w:t>
      </w:r>
      <w:r>
        <w:rPr>
          <w:rFonts w:hint="eastAsia"/>
          <w:sz w:val="21"/>
          <w:szCs w:val="21"/>
          <w:lang w:val="en-US"/>
        </w:rPr>
        <w:t>的要求，求得计权规范化撞击声压级来评价楼板</w:t>
      </w:r>
      <w:r>
        <w:rPr>
          <w:sz w:val="21"/>
          <w:szCs w:val="21"/>
          <w:lang w:val="en-US"/>
        </w:rPr>
        <w:t>的撞击声隔声性能。</w:t>
      </w:r>
    </w:p>
    <w:p>
      <w:pPr>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p>
      <w:pPr>
        <w:rPr>
          <w:lang w:val="en-US"/>
        </w:rPr>
      </w:pPr>
      <w:bookmarkStart w:id="48" w:name="撞击声隔声"/>
      <w:bookmarkEnd w:id="48"/>
      <w:r>
        <w:rPr>
          <w:lang w:val="en-US"/>
        </w:rPr>
        <w:t>本工程为单层建筑，撞击声隔声性能直接得 5 分。</w:t>
      </w:r>
    </w:p>
    <w:bookmarkEnd w:id="24"/>
    <w:p>
      <w:pPr>
        <w:pStyle w:val="2"/>
        <w:ind w:left="669" w:hanging="669"/>
        <w:rPr>
          <w:kern w:val="2"/>
        </w:rPr>
      </w:pPr>
      <w:bookmarkStart w:id="49" w:name="_Toc2248"/>
      <w:r>
        <w:rPr>
          <w:rFonts w:hint="eastAsia"/>
          <w:kern w:val="2"/>
        </w:rPr>
        <w:t>结论</w:t>
      </w:r>
      <w:bookmarkEnd w:id="49"/>
    </w:p>
    <w:p>
      <w:pPr>
        <w:pStyle w:val="3"/>
        <w:ind w:firstLine="420" w:firstLineChars="200"/>
      </w:pPr>
      <w:r>
        <w:rPr>
          <w:rFonts w:hint="eastAsia"/>
        </w:rPr>
        <w:t>根据上述计算可知，本项目围护</w:t>
      </w:r>
      <w:r>
        <w:t>结构隔声结果</w:t>
      </w:r>
      <w:r>
        <w:rPr>
          <w:rFonts w:hint="eastAsia"/>
        </w:rPr>
        <w:t>如下表所示：</w:t>
      </w:r>
    </w:p>
    <w:p>
      <w:pPr>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p>
      <w:bookmarkStart w:id="50" w:name="构件隔声性能统计"/>
      <w:bookmarkEnd w:id="50"/>
      <w:r>
        <w:t>本工程无此项评价</w:t>
      </w:r>
    </w:p>
    <w:p>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p>
      <w:bookmarkStart w:id="51" w:name="撞击声隔声性能统计"/>
      <w:bookmarkEnd w:id="51"/>
      <w:r>
        <w:t>本工程为单层建筑，撞击声隔声性能直接得 5 分。</w:t>
      </w:r>
    </w:p>
    <w:p>
      <w:pPr>
        <w:pStyle w:val="13"/>
        <w:spacing w:line="360" w:lineRule="auto"/>
        <w:ind w:firstLine="0" w:firstLineChars="0"/>
        <w:rPr>
          <w:rFonts w:ascii="宋体" w:hAnsi="宋体" w:eastAsia="宋体"/>
          <w:sz w:val="21"/>
          <w:szCs w:val="21"/>
        </w:rPr>
      </w:pPr>
    </w:p>
    <w:p>
      <w:pPr>
        <w:pStyle w:val="3"/>
      </w:pPr>
      <w:r>
        <w:rPr>
          <w:rFonts w:hint="eastAsia" w:ascii="宋体" w:hAnsi="宋体"/>
        </w:rPr>
        <w:t xml:space="preserve">    综上，根据《绿色建筑评</w:t>
      </w:r>
      <w:r>
        <w:t>价标准》GB/T50378-2019和《民用建筑隔声设计规范》GB50118-</w:t>
      </w:r>
    </w:p>
    <w:p>
      <w:pPr>
        <w:pStyle w:val="3"/>
        <w:rPr>
          <w:rFonts w:ascii="宋体" w:hAnsi="宋体"/>
        </w:rPr>
      </w:pPr>
      <w:r>
        <w:t>2010评价要求，可</w:t>
      </w:r>
      <w:r>
        <w:rPr>
          <w:rFonts w:hint="eastAsia" w:ascii="宋体" w:hAnsi="宋体"/>
        </w:rPr>
        <w:t>得围护结构隔声评价结果及得分情况如下表：</w:t>
      </w:r>
    </w:p>
    <w:p>
      <w:pPr>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897"/>
        <w:gridCol w:w="1381"/>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pPr>
              <w:jc w:val="center"/>
              <w:rPr>
                <w:bCs/>
              </w:rPr>
            </w:pPr>
            <w:r>
              <w:rPr>
                <w:bCs/>
              </w:rPr>
              <w:t>检查项</w:t>
            </w:r>
          </w:p>
        </w:tc>
        <w:tc>
          <w:tcPr>
            <w:tcW w:w="5897" w:type="dxa"/>
            <w:shd w:val="clear" w:color="auto" w:fill="E6E6E6"/>
          </w:tcPr>
          <w:p>
            <w:pPr>
              <w:jc w:val="center"/>
              <w:rPr>
                <w:bCs/>
              </w:rPr>
            </w:pPr>
            <w:r>
              <w:rPr>
                <w:rFonts w:hint="eastAsia"/>
                <w:bCs/>
              </w:rPr>
              <w:t>评价</w:t>
            </w:r>
            <w:r>
              <w:rPr>
                <w:bCs/>
              </w:rPr>
              <w:t>依据</w:t>
            </w:r>
          </w:p>
        </w:tc>
        <w:tc>
          <w:tcPr>
            <w:tcW w:w="1381" w:type="dxa"/>
            <w:shd w:val="clear" w:color="auto" w:fill="E6E6E6"/>
            <w:vAlign w:val="center"/>
          </w:tcPr>
          <w:p>
            <w:pPr>
              <w:jc w:val="center"/>
              <w:rPr>
                <w:bCs/>
              </w:rPr>
            </w:pPr>
            <w:r>
              <w:rPr>
                <w:bCs/>
              </w:rPr>
              <w:t>结论</w:t>
            </w:r>
          </w:p>
        </w:tc>
        <w:tc>
          <w:tcPr>
            <w:tcW w:w="737" w:type="dxa"/>
            <w:shd w:val="clear" w:color="auto" w:fill="E6E6E6"/>
            <w:vAlign w:val="center"/>
          </w:tcPr>
          <w:p>
            <w:pPr>
              <w:jc w:val="center"/>
              <w:rPr>
                <w:bCs/>
              </w:rPr>
            </w:pPr>
            <w:r>
              <w:rPr>
                <w:bCs/>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pPr>
              <w:pStyle w:val="3"/>
              <w:jc w:val="center"/>
              <w:rPr>
                <w:sz w:val="18"/>
                <w:szCs w:val="18"/>
              </w:rPr>
            </w:pPr>
            <w:r>
              <w:rPr>
                <w:rFonts w:hint="eastAsia"/>
                <w:sz w:val="18"/>
                <w:szCs w:val="18"/>
              </w:rPr>
              <w:t>空气声隔声</w:t>
            </w:r>
          </w:p>
        </w:tc>
        <w:tc>
          <w:tcPr>
            <w:tcW w:w="5897"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381" w:type="dxa"/>
            <w:vAlign w:val="center"/>
          </w:tcPr>
          <w:p>
            <w:pPr>
              <w:jc w:val="center"/>
              <w:rPr>
                <w:b/>
                <w:bCs/>
                <w:lang w:val="en-US"/>
              </w:rPr>
            </w:pPr>
            <w:bookmarkStart w:id="52" w:name="空气声控制项结论"/>
            <w:r>
              <w:rPr>
                <w:rFonts w:hint="eastAsia"/>
                <w:b/>
                <w:bCs/>
                <w:lang w:val="en-US"/>
              </w:rPr>
              <w:t>本工程无此项评价</w:t>
            </w:r>
            <w:bookmarkEnd w:id="52"/>
          </w:p>
        </w:tc>
        <w:tc>
          <w:tcPr>
            <w:tcW w:w="737" w:type="dxa"/>
            <w:vAlign w:val="center"/>
          </w:tcPr>
          <w:p>
            <w:pPr>
              <w:jc w:val="center"/>
              <w:rPr>
                <w:b/>
                <w:bCs/>
                <w:lang w:val="en-US"/>
              </w:rPr>
            </w:pPr>
            <w:r>
              <w:rPr>
                <w:b/>
                <w:bCs/>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jc w:val="center"/>
              <w:rPr>
                <w:sz w:val="18"/>
                <w:szCs w:val="18"/>
              </w:rPr>
            </w:pPr>
          </w:p>
        </w:tc>
        <w:tc>
          <w:tcPr>
            <w:tcW w:w="5897"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构件及相邻房间之间的空气声隔声性能达到现行国家标准《民用建筑隔声设计规范》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中的低限标准限值和高要求标准限值的平均值，得3分；达到高要求标准限值，得5分。</w:t>
            </w:r>
          </w:p>
        </w:tc>
        <w:tc>
          <w:tcPr>
            <w:tcW w:w="1381" w:type="dxa"/>
            <w:vAlign w:val="center"/>
          </w:tcPr>
          <w:p>
            <w:pPr>
              <w:jc w:val="center"/>
              <w:rPr>
                <w:b/>
                <w:bCs/>
                <w:lang w:val="en-US"/>
              </w:rPr>
            </w:pPr>
            <w:bookmarkStart w:id="53" w:name="空气声评分项结论"/>
            <w:r>
              <w:rPr>
                <w:rFonts w:hint="eastAsia"/>
                <w:b/>
                <w:bCs/>
                <w:lang w:val="en-US"/>
              </w:rPr>
              <w:t>本工程无此项评价</w:t>
            </w:r>
            <w:bookmarkEnd w:id="53"/>
          </w:p>
        </w:tc>
        <w:tc>
          <w:tcPr>
            <w:tcW w:w="737" w:type="dxa"/>
            <w:vAlign w:val="center"/>
          </w:tcPr>
          <w:p>
            <w:pPr>
              <w:jc w:val="center"/>
              <w:rPr>
                <w:b/>
                <w:bCs/>
                <w:lang w:val="en-US"/>
              </w:rPr>
            </w:pPr>
            <w:bookmarkStart w:id="54" w:name="空气声得分"/>
            <w:r>
              <w:rPr>
                <w:rFonts w:hint="eastAsia"/>
                <w:b/>
                <w:bCs/>
                <w:lang w:val="en-US"/>
              </w:rPr>
              <w:t>--</w:t>
            </w:r>
            <w:bookmarkEnd w:id="54"/>
            <w:r>
              <w:rPr>
                <w:rFonts w:hint="eastAsia"/>
                <w:b/>
                <w:bCs/>
                <w:lang w:val="en-US"/>
              </w:rPr>
              <w:t>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pPr>
              <w:pStyle w:val="3"/>
              <w:jc w:val="center"/>
              <w:rPr>
                <w:sz w:val="18"/>
                <w:szCs w:val="18"/>
              </w:rPr>
            </w:pPr>
            <w:r>
              <w:rPr>
                <w:rFonts w:hint="eastAsia"/>
                <w:sz w:val="18"/>
                <w:szCs w:val="18"/>
              </w:rPr>
              <w:t>撞击声隔声</w:t>
            </w:r>
          </w:p>
        </w:tc>
        <w:tc>
          <w:tcPr>
            <w:tcW w:w="5897"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381" w:type="dxa"/>
            <w:vAlign w:val="center"/>
          </w:tcPr>
          <w:p>
            <w:pPr>
              <w:jc w:val="center"/>
              <w:rPr>
                <w:b/>
                <w:bCs/>
                <w:lang w:val="en-US"/>
              </w:rPr>
            </w:pPr>
            <w:bookmarkStart w:id="55" w:name="撞击声控制项结论"/>
            <w:r>
              <w:rPr>
                <w:rFonts w:hint="eastAsia"/>
                <w:b/>
                <w:bCs/>
                <w:lang w:val="en-US"/>
              </w:rPr>
              <w:t>满足</w:t>
            </w:r>
            <w:bookmarkEnd w:id="55"/>
          </w:p>
        </w:tc>
        <w:tc>
          <w:tcPr>
            <w:tcW w:w="737" w:type="dxa"/>
            <w:vAlign w:val="center"/>
          </w:tcPr>
          <w:p>
            <w:pPr>
              <w:jc w:val="center"/>
              <w:rPr>
                <w:b/>
                <w:bCs/>
                <w:lang w:val="en-US"/>
              </w:rPr>
            </w:pPr>
            <w:r>
              <w:rPr>
                <w:rFonts w:hint="eastAsia"/>
                <w:b/>
                <w:bCs/>
                <w:lang w:val="en-US"/>
              </w:rPr>
              <w:t>-</w:t>
            </w:r>
            <w:r>
              <w:rPr>
                <w:b/>
                <w:bCs/>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rPr>
                <w:sz w:val="18"/>
                <w:szCs w:val="18"/>
              </w:rPr>
            </w:pPr>
          </w:p>
        </w:tc>
        <w:tc>
          <w:tcPr>
            <w:tcW w:w="5897"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楼板的撞击声隔声性能达到现行国家标准《民用建筑隔声设计规范》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w:t>
            </w:r>
            <w:r>
              <w:rPr>
                <w:sz w:val="18"/>
                <w:szCs w:val="18"/>
              </w:rPr>
              <w:t>5</w:t>
            </w:r>
            <w:r>
              <w:rPr>
                <w:rFonts w:hint="eastAsia"/>
                <w:sz w:val="18"/>
                <w:szCs w:val="18"/>
              </w:rPr>
              <w:t>分。</w:t>
            </w:r>
          </w:p>
        </w:tc>
        <w:tc>
          <w:tcPr>
            <w:tcW w:w="1381" w:type="dxa"/>
            <w:vAlign w:val="center"/>
          </w:tcPr>
          <w:p>
            <w:pPr>
              <w:jc w:val="center"/>
              <w:rPr>
                <w:b/>
                <w:bCs/>
                <w:lang w:val="en-US"/>
              </w:rPr>
            </w:pPr>
            <w:bookmarkStart w:id="56" w:name="撞击声评分项结论"/>
            <w:r>
              <w:rPr>
                <w:rFonts w:hint="eastAsia"/>
                <w:b/>
                <w:bCs/>
                <w:lang w:val="en-US"/>
              </w:rPr>
              <w:t>满足高要求</w:t>
            </w:r>
            <w:bookmarkEnd w:id="56"/>
          </w:p>
        </w:tc>
        <w:tc>
          <w:tcPr>
            <w:tcW w:w="737" w:type="dxa"/>
            <w:vAlign w:val="center"/>
          </w:tcPr>
          <w:p>
            <w:pPr>
              <w:jc w:val="center"/>
              <w:rPr>
                <w:b/>
                <w:bCs/>
                <w:lang w:val="en-US"/>
              </w:rPr>
            </w:pPr>
            <w:bookmarkStart w:id="57" w:name="撞击声得分"/>
            <w:r>
              <w:rPr>
                <w:rFonts w:hint="eastAsia"/>
                <w:b/>
                <w:bCs/>
                <w:lang w:val="en-US"/>
              </w:rPr>
              <w:t>5</w:t>
            </w:r>
            <w:bookmarkEnd w:id="57"/>
            <w:r>
              <w:rPr>
                <w:rFonts w:hint="eastAsia"/>
                <w:b/>
                <w:bCs/>
                <w:lang w:val="en-US"/>
              </w:rPr>
              <w:t>分</w:t>
            </w:r>
          </w:p>
        </w:tc>
      </w:tr>
    </w:tbl>
    <w:p>
      <w:pPr>
        <w:pStyle w:val="13"/>
        <w:spacing w:line="360" w:lineRule="auto"/>
        <w:ind w:firstLine="0" w:firstLineChars="0"/>
        <w:rPr>
          <w:rFonts w:ascii="宋体" w:hAnsi="宋体" w:eastAsia="宋体"/>
          <w:sz w:val="21"/>
          <w:szCs w:val="21"/>
          <w:lang w:val="en-GB"/>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NUMPAGES  \* Arabic  \* MERGEFORMAT </w:instrText>
    </w:r>
    <w:r>
      <w:rPr>
        <w:sz w:val="15"/>
        <w:szCs w:val="15"/>
      </w:rPr>
      <w:fldChar w:fldCharType="separate"/>
    </w:r>
    <w:r>
      <w:rPr>
        <w:sz w:val="15"/>
        <w:szCs w:val="15"/>
      </w:rPr>
      <w:t>9</w:t>
    </w:r>
    <w:r>
      <w:rPr>
        <w:sz w:val="15"/>
        <w:szCs w:val="15"/>
      </w:rPr>
      <w:fldChar w:fldCharType="end"/>
    </w:r>
    <w:r>
      <w:rPr>
        <w:sz w:val="15"/>
        <w:szCs w:val="15"/>
      </w:rPr>
      <w:ptab w:relativeTo="margin" w:alignment="right" w:leader="none"/>
    </w:r>
    <w:r>
      <w:rPr>
        <w:sz w:val="15"/>
        <w:szCs w:val="15"/>
      </w:rPr>
      <w:t>SEDU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5NDFhYmM1MjhiMTdmNmE0ZjZjYTE5YzE0YTk2MTQifQ=="/>
  </w:docVars>
  <w:rsids>
    <w:rsidRoot w:val="0C98298F"/>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708E"/>
    <w:rsid w:val="003171AF"/>
    <w:rsid w:val="0031760A"/>
    <w:rsid w:val="00327483"/>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1BDA"/>
    <w:rsid w:val="008B45DA"/>
    <w:rsid w:val="008C1182"/>
    <w:rsid w:val="008C567E"/>
    <w:rsid w:val="008D0B6B"/>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0C98298F"/>
    <w:rsid w:val="192854A8"/>
    <w:rsid w:val="5B090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semiHidden/>
    <w:qFormat/>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semiHidden/>
    <w:qFormat/>
    <w:uiPriority w:val="0"/>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semiHidden/>
    <w:qFormat/>
    <w:uiPriority w:val="0"/>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0"/>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qFormat/>
    <w:uiPriority w:val="0"/>
    <w:rPr>
      <w:sz w:val="18"/>
      <w:szCs w:val="18"/>
      <w:lang w:val="en-GB"/>
    </w:rPr>
  </w:style>
  <w:style w:type="character" w:customStyle="1" w:styleId="37">
    <w:name w:val="条文 Char"/>
    <w:link w:val="38"/>
    <w:qFormat/>
    <w:uiPriority w:val="99"/>
    <w:rPr>
      <w:sz w:val="24"/>
    </w:rPr>
  </w:style>
  <w:style w:type="paragraph" w:customStyle="1" w:styleId="38">
    <w:name w:val="条文"/>
    <w:basedOn w:val="1"/>
    <w:link w:val="37"/>
    <w:qFormat/>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qFormat/>
    <w:locked/>
    <w:uiPriority w:val="0"/>
    <w:rPr>
      <w:rFonts w:cs="宋体"/>
      <w:kern w:val="2"/>
      <w:sz w:val="21"/>
      <w:szCs w:val="18"/>
    </w:rPr>
  </w:style>
  <w:style w:type="character" w:styleId="41">
    <w:name w:val="Placeholder Text"/>
    <w:basedOn w:val="23"/>
    <w:semiHidden/>
    <w:qFormat/>
    <w:uiPriority w:val="99"/>
    <w:rPr>
      <w:color w:val="808080"/>
    </w:rPr>
  </w:style>
  <w:style w:type="paragraph" w:customStyle="1" w:styleId="42">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numbering" Target="numbering.xml"/><Relationship Id="rId31" Type="http://schemas.openxmlformats.org/officeDocument/2006/relationships/image" Target="media/image19.png"/><Relationship Id="rId30" Type="http://schemas.openxmlformats.org/officeDocument/2006/relationships/oleObject" Target="embeddings/oleObject7.bin"/><Relationship Id="rId3" Type="http://schemas.openxmlformats.org/officeDocument/2006/relationships/header" Target="header1.xml"/><Relationship Id="rId29" Type="http://schemas.openxmlformats.org/officeDocument/2006/relationships/oleObject" Target="embeddings/oleObject6.bin"/><Relationship Id="rId28" Type="http://schemas.openxmlformats.org/officeDocument/2006/relationships/image" Target="media/image18.png"/><Relationship Id="rId27" Type="http://schemas.openxmlformats.org/officeDocument/2006/relationships/image" Target="media/image17.png"/><Relationship Id="rId26" Type="http://schemas.openxmlformats.org/officeDocument/2006/relationships/image" Target="media/image16.wmf"/><Relationship Id="rId25" Type="http://schemas.openxmlformats.org/officeDocument/2006/relationships/oleObject" Target="embeddings/oleObject5.bin"/><Relationship Id="rId24" Type="http://schemas.openxmlformats.org/officeDocument/2006/relationships/image" Target="media/image15.wmf"/><Relationship Id="rId23" Type="http://schemas.openxmlformats.org/officeDocument/2006/relationships/oleObject" Target="embeddings/oleObject4.bin"/><Relationship Id="rId22" Type="http://schemas.openxmlformats.org/officeDocument/2006/relationships/image" Target="media/image14.wmf"/><Relationship Id="rId21" Type="http://schemas.openxmlformats.org/officeDocument/2006/relationships/oleObject" Target="embeddings/oleObject3.bin"/><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4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3FAFF-ECC1-4410-A135-1992DC8782EB}">
  <ds:schemaRefs/>
</ds:datastoreItem>
</file>

<file path=docProps/app.xml><?xml version="1.0" encoding="utf-8"?>
<Properties xmlns="http://schemas.openxmlformats.org/officeDocument/2006/extended-properties" xmlns:vt="http://schemas.openxmlformats.org/officeDocument/2006/docPropsVTypes">
  <Template>tmp48.dotx</Template>
  <Pages>10</Pages>
  <Words>4070</Words>
  <Characters>4678</Characters>
  <Lines>39</Lines>
  <Paragraphs>11</Paragraphs>
  <TotalTime>0</TotalTime>
  <ScaleCrop>false</ScaleCrop>
  <LinksUpToDate>false</LinksUpToDate>
  <CharactersWithSpaces>5083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2022-10-20T07:17:00Z</dcterms:created>
  <dc:creator>空白</dc:creator>
  <cp:lastModifiedBy>空白</cp:lastModifiedBy>
  <dcterms:modified xsi:type="dcterms:W3CDTF">2022-10-22T03:22:47Z</dcterms:modified>
  <dc:title>建筑构件隔声设计报告书</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D2132403F1F3443E9C9CC053029E62FF</vt:lpwstr>
  </property>
  <property fmtid="{D5CDD505-2E9C-101B-9397-08002B2CF9AE}" pid="3" name="KSOProductBuildVer">
    <vt:lpwstr>2052-11.1.0.12598</vt:lpwstr>
  </property>
</Properties>
</file>