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商业建筑</w:t>
      </w:r>
      <w:bookmarkEnd w:id="0"/>
      <w:bookmarkStart w:id="75" w:name="_GoBack"/>
    </w:p>
    <w:p>
      <w:pPr>
        <w:spacing w:line="180" w:lineRule="atLeast"/>
        <w:jc w:val="center"/>
        <w:rPr>
          <w:rFonts w:ascii="宋体" w:hAnsi="宋体"/>
          <w:b/>
          <w:bCs/>
          <w:sz w:val="36"/>
          <w:szCs w:val="36"/>
          <w:lang w:val="en-US"/>
        </w:rPr>
      </w:pPr>
      <w:bookmarkStart w:id="1" w:name="建筑类别"/>
      <w:bookmarkEnd w:id="1"/>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7"/>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6"/>
              <w:tabs>
                <w:tab w:val="clear" w:pos="4153"/>
                <w:tab w:val="clear" w:pos="8306"/>
              </w:tabs>
              <w:snapToGrid/>
              <w:jc w:val="center"/>
              <w:rPr>
                <w:szCs w:val="21"/>
              </w:rPr>
            </w:pPr>
            <w:bookmarkStart w:id="2" w:name="项目名称"/>
            <w:bookmarkEnd w:id="2"/>
            <w:r>
              <w:t>侨城滨江郦景小区S2#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center"/>
              <w:rPr>
                <w:szCs w:val="21"/>
              </w:rPr>
            </w:pPr>
            <w:bookmarkStart w:id="3" w:name="项目地点"/>
            <w:r>
              <w:t>保定</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center"/>
              <w:rPr>
                <w:szCs w:val="21"/>
              </w:rPr>
            </w:pPr>
            <w:bookmarkStart w:id="4" w:name="设计编号"/>
            <w:bookmarkEnd w:id="4"/>
            <w:r>
              <w:rPr>
                <w:rFonts w:hint="eastAsia"/>
                <w:szCs w:val="21"/>
              </w:rPr>
              <w:t>BD-2021-7-S2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jc w:val="center"/>
              <w:rPr>
                <w:szCs w:val="21"/>
              </w:rPr>
            </w:pPr>
            <w:bookmarkStart w:id="5" w:name="建设单位"/>
            <w:bookmarkEnd w:id="5"/>
            <w:r>
              <w:t>涿州侨城惠房地产开发有限公司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jc w:val="center"/>
              <w:rPr>
                <w:szCs w:val="21"/>
              </w:rPr>
            </w:pPr>
            <w:bookmarkStart w:id="6" w:name="设计单位"/>
            <w:bookmarkEnd w:id="6"/>
            <w:r>
              <w:t>中冀轩辕建设科技有限公司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jc w:val="center"/>
              <w:rPr>
                <w:szCs w:val="21"/>
              </w:rPr>
            </w:pPr>
            <w:r>
              <w:rPr>
                <w:rFonts w:hint="eastAsia"/>
                <w:szCs w:val="21"/>
              </w:rPr>
              <w:t>田兴华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jc w:val="center"/>
              <w:rPr>
                <w:szCs w:val="21"/>
              </w:rPr>
            </w:pPr>
            <w:r>
              <w:rPr>
                <w:rFonts w:hint="eastAsia"/>
                <w:szCs w:val="21"/>
              </w:rPr>
              <w:t>候入园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jc w:val="center"/>
              <w:rPr>
                <w:szCs w:val="21"/>
              </w:rPr>
            </w:pPr>
            <w:r>
              <w:rPr>
                <w:rFonts w:hint="eastAsia"/>
                <w:szCs w:val="21"/>
              </w:rPr>
              <w:t>胡方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jc w:val="center"/>
              <w:rPr>
                <w:szCs w:val="21"/>
              </w:rPr>
            </w:pPr>
            <w:r>
              <w:rPr>
                <w:rFonts w:hint="eastAsia"/>
                <w:szCs w:val="21"/>
              </w:rPr>
              <w:t>赵利君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jc w:val="center"/>
              <w:rPr>
                <w:rFonts w:ascii="宋体" w:hAnsi="宋体"/>
                <w:szCs w:val="21"/>
              </w:rPr>
            </w:pPr>
            <w:bookmarkStart w:id="7" w:name="报告日期"/>
            <w:r>
              <w:rPr>
                <w:rFonts w:hint="eastAsia"/>
                <w:szCs w:val="21"/>
              </w:rPr>
              <w:t>2021年06月</w:t>
            </w:r>
            <w:bookmarkEnd w:id="7"/>
          </w:p>
        </w:tc>
      </w:tr>
    </w:tbl>
    <w:p>
      <w:pPr>
        <w:spacing w:line="240" w:lineRule="auto"/>
        <w:rPr>
          <w:rFonts w:ascii="宋体" w:hAnsi="宋体"/>
          <w:lang w:val="en-US"/>
        </w:rPr>
      </w:pPr>
    </w:p>
    <w:p>
      <w:pPr>
        <w:rPr>
          <w:rFonts w:ascii="宋体" w:hAnsi="宋体"/>
          <w:lang w:val="en-US"/>
        </w:rPr>
      </w:pPr>
    </w:p>
    <w:p>
      <w:pPr>
        <w:jc w:val="center"/>
        <w:rPr>
          <w:rFonts w:ascii="宋体" w:hAnsi="宋体"/>
          <w:lang w:val="en-US"/>
        </w:rPr>
      </w:pPr>
      <w:bookmarkStart w:id="8"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8"/>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9" w:name="软件全称"/>
            <w:r>
              <w:rPr>
                <w:rFonts w:hint="eastAsia"/>
              </w:rPr>
              <w:t>建筑声环境SEDU2023</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10" w:name="软件版本"/>
            <w:r>
              <w:rPr>
                <w:rFonts w:hint="eastAsia"/>
              </w:rPr>
              <w:t>20220401</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84"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11" w:name="加密锁号"/>
            <w:r>
              <w:rPr>
                <w:rFonts w:hint="eastAsia"/>
              </w:rPr>
              <w:t>T18103126656</w:t>
            </w:r>
            <w:bookmarkEnd w:id="11"/>
          </w:p>
        </w:tc>
      </w:tr>
    </w:tbl>
    <w:p>
      <w:pPr>
        <w:spacing w:line="1000" w:lineRule="exact"/>
        <w:jc w:val="center"/>
        <w:rPr>
          <w:rFonts w:ascii="宋体" w:hAnsi="宋体"/>
          <w:b/>
          <w:bCs/>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12"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_Toc27293 </w:instrText>
      </w:r>
      <w:r>
        <w:rPr>
          <w:rFonts w:ascii="宋体" w:hAnsi="宋体"/>
          <w:caps/>
        </w:rPr>
        <w:fldChar w:fldCharType="separate"/>
      </w:r>
      <w:r>
        <w:t xml:space="preserve">1 </w:t>
      </w:r>
      <w:r>
        <w:rPr>
          <w:rFonts w:hint="eastAsia"/>
        </w:rPr>
        <w:t>建筑概况</w:t>
      </w:r>
      <w:r>
        <w:tab/>
      </w:r>
      <w:r>
        <w:fldChar w:fldCharType="begin"/>
      </w:r>
      <w:r>
        <w:instrText xml:space="preserve"> PAGEREF _Toc27293 \h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_Toc17253 </w:instrText>
      </w:r>
      <w:r>
        <w:fldChar w:fldCharType="separate"/>
      </w:r>
      <w:r>
        <w:t xml:space="preserve">2 </w:t>
      </w:r>
      <w:r>
        <w:rPr>
          <w:rFonts w:hint="eastAsia"/>
        </w:rPr>
        <w:t>评价依据</w:t>
      </w:r>
      <w:r>
        <w:tab/>
      </w:r>
      <w:r>
        <w:fldChar w:fldCharType="begin"/>
      </w:r>
      <w:r>
        <w:instrText xml:space="preserve"> PAGEREF _Toc17253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_Toc9673 </w:instrText>
      </w:r>
      <w:r>
        <w:fldChar w:fldCharType="separate"/>
      </w:r>
      <w:r>
        <w:t xml:space="preserve">3 </w:t>
      </w:r>
      <w:r>
        <w:rPr>
          <w:rFonts w:hint="eastAsia"/>
        </w:rPr>
        <w:t>标准</w:t>
      </w:r>
      <w:r>
        <w:t>要求</w:t>
      </w:r>
      <w:r>
        <w:tab/>
      </w:r>
      <w:r>
        <w:fldChar w:fldCharType="begin"/>
      </w:r>
      <w:r>
        <w:instrText xml:space="preserve"> PAGEREF _Toc9673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_Toc14358 </w:instrText>
      </w:r>
      <w:r>
        <w:fldChar w:fldCharType="separate"/>
      </w:r>
      <w:r>
        <w:rPr>
          <w:kern w:val="2"/>
        </w:rPr>
        <w:t xml:space="preserve">4 </w:t>
      </w:r>
      <w:r>
        <w:rPr>
          <w:rFonts w:hint="eastAsia"/>
          <w:kern w:val="2"/>
        </w:rPr>
        <w:t>计算原理</w:t>
      </w:r>
      <w:r>
        <w:tab/>
      </w:r>
      <w:r>
        <w:fldChar w:fldCharType="begin"/>
      </w:r>
      <w:r>
        <w:instrText xml:space="preserve"> PAGEREF _Toc14358 \h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_Toc5549 </w:instrText>
      </w:r>
      <w:r>
        <w:fldChar w:fldCharType="separate"/>
      </w:r>
      <w:r>
        <w:t xml:space="preserve">4.1 </w:t>
      </w:r>
      <w:r>
        <w:rPr>
          <w:rFonts w:hint="eastAsia"/>
        </w:rPr>
        <w:t>最不利</w:t>
      </w:r>
      <w:r>
        <w:t>房间确定</w:t>
      </w:r>
      <w:r>
        <w:tab/>
      </w:r>
      <w:r>
        <w:fldChar w:fldCharType="begin"/>
      </w:r>
      <w:r>
        <w:instrText xml:space="preserve"> PAGEREF _Toc5549 \h </w:instrText>
      </w:r>
      <w:r>
        <w:fldChar w:fldCharType="separate"/>
      </w:r>
      <w:r>
        <w:t>4</w:t>
      </w:r>
      <w:r>
        <w:fldChar w:fldCharType="end"/>
      </w:r>
      <w:r>
        <w:fldChar w:fldCharType="end"/>
      </w:r>
    </w:p>
    <w:p>
      <w:pPr>
        <w:pStyle w:val="19"/>
        <w:tabs>
          <w:tab w:val="right" w:leader="dot" w:pos="9070"/>
          <w:tab w:val="clear" w:pos="540"/>
          <w:tab w:val="clear" w:pos="9360"/>
        </w:tabs>
      </w:pPr>
      <w:r>
        <w:fldChar w:fldCharType="begin"/>
      </w:r>
      <w:r>
        <w:instrText xml:space="preserve"> HYPERLINK \l _Toc15521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_Toc15521 \h </w:instrText>
      </w:r>
      <w:r>
        <w:fldChar w:fldCharType="separate"/>
      </w:r>
      <w:r>
        <w:t>4</w:t>
      </w:r>
      <w:r>
        <w:fldChar w:fldCharType="end"/>
      </w:r>
      <w:r>
        <w:fldChar w:fldCharType="end"/>
      </w:r>
    </w:p>
    <w:p>
      <w:pPr>
        <w:pStyle w:val="18"/>
        <w:tabs>
          <w:tab w:val="right" w:leader="dot" w:pos="9070"/>
          <w:tab w:val="clear" w:pos="180"/>
          <w:tab w:val="clear" w:pos="9360"/>
        </w:tabs>
      </w:pPr>
      <w:r>
        <w:fldChar w:fldCharType="begin"/>
      </w:r>
      <w:r>
        <w:instrText xml:space="preserve"> HYPERLINK \l _Toc20751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_Toc20751 \h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_Toc24216 </w:instrText>
      </w:r>
      <w:r>
        <w:fldChar w:fldCharType="separate"/>
      </w:r>
      <w:r>
        <w:t xml:space="preserve">5.1 </w:t>
      </w:r>
      <w:r>
        <w:rPr>
          <w:rFonts w:hint="eastAsia"/>
        </w:rPr>
        <w:t>室外边界噪声</w:t>
      </w:r>
      <w:r>
        <w:tab/>
      </w:r>
      <w:r>
        <w:fldChar w:fldCharType="begin"/>
      </w:r>
      <w:r>
        <w:instrText xml:space="preserve"> PAGEREF _Toc24216 \h </w:instrText>
      </w:r>
      <w:r>
        <w:fldChar w:fldCharType="separate"/>
      </w:r>
      <w:r>
        <w:t>5</w:t>
      </w:r>
      <w:r>
        <w:fldChar w:fldCharType="end"/>
      </w:r>
      <w:r>
        <w:fldChar w:fldCharType="end"/>
      </w:r>
    </w:p>
    <w:p>
      <w:pPr>
        <w:pStyle w:val="14"/>
        <w:tabs>
          <w:tab w:val="right" w:leader="dot" w:pos="9070"/>
          <w:tab w:val="clear" w:pos="900"/>
          <w:tab w:val="clear" w:pos="9360"/>
        </w:tabs>
      </w:pPr>
      <w:r>
        <w:fldChar w:fldCharType="begin"/>
      </w:r>
      <w:r>
        <w:instrText xml:space="preserve"> HYPERLINK \l _Toc24950 </w:instrText>
      </w:r>
      <w:r>
        <w:fldChar w:fldCharType="separate"/>
      </w:r>
      <w:r>
        <w:t xml:space="preserve">5.1.1 </w:t>
      </w:r>
      <w:r>
        <w:rPr>
          <w:rFonts w:hint="eastAsia"/>
        </w:rPr>
        <w:t>环境</w:t>
      </w:r>
      <w:r>
        <w:t>噪声分析</w:t>
      </w:r>
      <w:r>
        <w:tab/>
      </w:r>
      <w:r>
        <w:fldChar w:fldCharType="begin"/>
      </w:r>
      <w:r>
        <w:instrText xml:space="preserve"> PAGEREF _Toc24950 \h </w:instrText>
      </w:r>
      <w:r>
        <w:fldChar w:fldCharType="separate"/>
      </w:r>
      <w:r>
        <w:t>5</w:t>
      </w:r>
      <w:r>
        <w:fldChar w:fldCharType="end"/>
      </w:r>
      <w:r>
        <w:fldChar w:fldCharType="end"/>
      </w:r>
    </w:p>
    <w:p>
      <w:pPr>
        <w:pStyle w:val="14"/>
        <w:tabs>
          <w:tab w:val="right" w:leader="dot" w:pos="9070"/>
          <w:tab w:val="clear" w:pos="900"/>
          <w:tab w:val="clear" w:pos="9360"/>
        </w:tabs>
      </w:pPr>
      <w:r>
        <w:fldChar w:fldCharType="begin"/>
      </w:r>
      <w:r>
        <w:instrText xml:space="preserve"> HYPERLINK \l _Toc29344 </w:instrText>
      </w:r>
      <w:r>
        <w:fldChar w:fldCharType="separate"/>
      </w:r>
      <w:r>
        <w:t xml:space="preserve">5.1.2 </w:t>
      </w:r>
      <w:r>
        <w:rPr>
          <w:rFonts w:hint="eastAsia"/>
        </w:rPr>
        <w:t>房间</w:t>
      </w:r>
      <w:r>
        <w:t>边界噪声</w:t>
      </w:r>
      <w:r>
        <w:tab/>
      </w:r>
      <w:r>
        <w:fldChar w:fldCharType="begin"/>
      </w:r>
      <w:r>
        <w:instrText xml:space="preserve"> PAGEREF _Toc29344 \h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_Toc23877 </w:instrText>
      </w:r>
      <w:r>
        <w:fldChar w:fldCharType="separate"/>
      </w:r>
      <w:r>
        <w:t>5.2 构件空气声隔声</w:t>
      </w:r>
      <w:r>
        <w:tab/>
      </w:r>
      <w:r>
        <w:fldChar w:fldCharType="begin"/>
      </w:r>
      <w:r>
        <w:instrText xml:space="preserve"> PAGEREF _Toc23877 \h </w:instrText>
      </w:r>
      <w:r>
        <w:fldChar w:fldCharType="separate"/>
      </w:r>
      <w:r>
        <w:t>6</w:t>
      </w:r>
      <w:r>
        <w:fldChar w:fldCharType="end"/>
      </w:r>
      <w:r>
        <w:fldChar w:fldCharType="end"/>
      </w:r>
    </w:p>
    <w:p>
      <w:pPr>
        <w:pStyle w:val="19"/>
        <w:tabs>
          <w:tab w:val="right" w:leader="dot" w:pos="9070"/>
          <w:tab w:val="clear" w:pos="540"/>
          <w:tab w:val="clear" w:pos="9360"/>
        </w:tabs>
      </w:pPr>
      <w:r>
        <w:fldChar w:fldCharType="begin"/>
      </w:r>
      <w:r>
        <w:instrText xml:space="preserve"> HYPERLINK \l _Toc16537 </w:instrText>
      </w:r>
      <w:r>
        <w:fldChar w:fldCharType="separate"/>
      </w:r>
      <w:r>
        <w:t xml:space="preserve">5.3 </w:t>
      </w:r>
      <w:r>
        <w:rPr>
          <w:rFonts w:hint="eastAsia"/>
        </w:rPr>
        <w:t>房间</w:t>
      </w:r>
      <w:r>
        <w:t>总吸声量计算</w:t>
      </w:r>
      <w:r>
        <w:tab/>
      </w:r>
      <w:r>
        <w:fldChar w:fldCharType="begin"/>
      </w:r>
      <w:r>
        <w:instrText xml:space="preserve"> PAGEREF _Toc16537 \h </w:instrText>
      </w:r>
      <w:r>
        <w:fldChar w:fldCharType="separate"/>
      </w:r>
      <w:r>
        <w:t>8</w:t>
      </w:r>
      <w:r>
        <w:fldChar w:fldCharType="end"/>
      </w:r>
      <w:r>
        <w:fldChar w:fldCharType="end"/>
      </w:r>
    </w:p>
    <w:p>
      <w:pPr>
        <w:pStyle w:val="19"/>
        <w:tabs>
          <w:tab w:val="right" w:leader="dot" w:pos="9070"/>
          <w:tab w:val="clear" w:pos="540"/>
          <w:tab w:val="clear" w:pos="9360"/>
        </w:tabs>
      </w:pPr>
      <w:r>
        <w:fldChar w:fldCharType="begin"/>
      </w:r>
      <w:r>
        <w:instrText xml:space="preserve"> HYPERLINK \l _Toc29631 </w:instrText>
      </w:r>
      <w:r>
        <w:fldChar w:fldCharType="separate"/>
      </w:r>
      <w:r>
        <w:t xml:space="preserve">5.4 </w:t>
      </w:r>
      <w:r>
        <w:rPr>
          <w:rFonts w:hint="eastAsia"/>
        </w:rPr>
        <w:t>组合墙</w:t>
      </w:r>
      <w:r>
        <w:t>空气声隔声量计算</w:t>
      </w:r>
      <w:r>
        <w:tab/>
      </w:r>
      <w:r>
        <w:fldChar w:fldCharType="begin"/>
      </w:r>
      <w:r>
        <w:instrText xml:space="preserve"> PAGEREF _Toc29631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_Toc11803 </w:instrText>
      </w:r>
      <w:r>
        <w:fldChar w:fldCharType="separate"/>
      </w:r>
      <w:r>
        <w:t xml:space="preserve">5.4.1 </w:t>
      </w:r>
      <w:r>
        <w:rPr>
          <w:rFonts w:hint="eastAsia"/>
        </w:rPr>
        <w:t>组合墙</w:t>
      </w:r>
      <w:r>
        <w:t>有效隔声量</w:t>
      </w:r>
      <w:r>
        <w:tab/>
      </w:r>
      <w:r>
        <w:fldChar w:fldCharType="begin"/>
      </w:r>
      <w:r>
        <w:instrText xml:space="preserve"> PAGEREF _Toc11803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_Toc527 </w:instrText>
      </w:r>
      <w:r>
        <w:fldChar w:fldCharType="separate"/>
      </w:r>
      <w:r>
        <w:t xml:space="preserve">5.4.2 </w:t>
      </w:r>
      <w:r>
        <w:rPr>
          <w:rFonts w:hint="eastAsia"/>
        </w:rPr>
        <w:t>组合墙</w:t>
      </w:r>
      <w:r>
        <w:t>隔声单值评价量、频谱修正量</w:t>
      </w:r>
      <w:r>
        <w:tab/>
      </w:r>
      <w:r>
        <w:fldChar w:fldCharType="begin"/>
      </w:r>
      <w:r>
        <w:instrText xml:space="preserve"> PAGEREF _Toc527 \h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_Toc16839 </w:instrText>
      </w:r>
      <w:r>
        <w:fldChar w:fldCharType="separate"/>
      </w:r>
      <w:r>
        <w:t xml:space="preserve">5.4.3 </w:t>
      </w:r>
      <w:r>
        <w:rPr>
          <w:rFonts w:hint="eastAsia"/>
        </w:rPr>
        <w:t>缝隙对组合墙隔声量的影响</w:t>
      </w:r>
      <w:r>
        <w:tab/>
      </w:r>
      <w:r>
        <w:fldChar w:fldCharType="begin"/>
      </w:r>
      <w:r>
        <w:instrText xml:space="preserve"> PAGEREF _Toc16839 \h </w:instrText>
      </w:r>
      <w:r>
        <w:fldChar w:fldCharType="separate"/>
      </w:r>
      <w:r>
        <w:t>10</w:t>
      </w:r>
      <w:r>
        <w:fldChar w:fldCharType="end"/>
      </w:r>
      <w:r>
        <w:fldChar w:fldCharType="end"/>
      </w:r>
    </w:p>
    <w:p>
      <w:pPr>
        <w:pStyle w:val="14"/>
        <w:tabs>
          <w:tab w:val="right" w:leader="dot" w:pos="9070"/>
          <w:tab w:val="clear" w:pos="900"/>
          <w:tab w:val="clear" w:pos="9360"/>
        </w:tabs>
      </w:pPr>
      <w:r>
        <w:fldChar w:fldCharType="begin"/>
      </w:r>
      <w:r>
        <w:instrText xml:space="preserve"> HYPERLINK \l _Toc16852 </w:instrText>
      </w:r>
      <w:r>
        <w:fldChar w:fldCharType="separate"/>
      </w:r>
      <w:r>
        <w:t xml:space="preserve">5.4.4 </w:t>
      </w:r>
      <w:r>
        <w:rPr>
          <w:rFonts w:hint="eastAsia"/>
        </w:rPr>
        <w:t>组合墙隔声量计算过程</w:t>
      </w:r>
      <w:r>
        <w:tab/>
      </w:r>
      <w:r>
        <w:fldChar w:fldCharType="begin"/>
      </w:r>
      <w:r>
        <w:instrText xml:space="preserve"> PAGEREF _Toc16852 \h </w:instrText>
      </w:r>
      <w:r>
        <w:fldChar w:fldCharType="separate"/>
      </w:r>
      <w:r>
        <w:t>10</w:t>
      </w:r>
      <w:r>
        <w:fldChar w:fldCharType="end"/>
      </w:r>
      <w:r>
        <w:fldChar w:fldCharType="end"/>
      </w:r>
    </w:p>
    <w:p>
      <w:pPr>
        <w:pStyle w:val="19"/>
        <w:tabs>
          <w:tab w:val="right" w:leader="dot" w:pos="9070"/>
          <w:tab w:val="clear" w:pos="540"/>
          <w:tab w:val="clear" w:pos="9360"/>
        </w:tabs>
      </w:pPr>
      <w:r>
        <w:fldChar w:fldCharType="begin"/>
      </w:r>
      <w:r>
        <w:instrText xml:space="preserve"> HYPERLINK \l _Toc28222 </w:instrText>
      </w:r>
      <w:r>
        <w:fldChar w:fldCharType="separate"/>
      </w:r>
      <w:r>
        <w:t xml:space="preserve">5.5 </w:t>
      </w:r>
      <w:r>
        <w:rPr>
          <w:rFonts w:hint="eastAsia"/>
        </w:rPr>
        <w:t>室外环境噪声通过组合墙传到室内的噪声级计算</w:t>
      </w:r>
      <w:r>
        <w:tab/>
      </w:r>
      <w:r>
        <w:fldChar w:fldCharType="begin"/>
      </w:r>
      <w:r>
        <w:instrText xml:space="preserve"> PAGEREF _Toc28222 \h </w:instrText>
      </w:r>
      <w:r>
        <w:fldChar w:fldCharType="separate"/>
      </w:r>
      <w:r>
        <w:t>11</w:t>
      </w:r>
      <w:r>
        <w:fldChar w:fldCharType="end"/>
      </w:r>
      <w:r>
        <w:fldChar w:fldCharType="end"/>
      </w:r>
    </w:p>
    <w:p>
      <w:pPr>
        <w:pStyle w:val="19"/>
        <w:tabs>
          <w:tab w:val="right" w:leader="dot" w:pos="9070"/>
          <w:tab w:val="clear" w:pos="540"/>
          <w:tab w:val="clear" w:pos="9360"/>
        </w:tabs>
      </w:pPr>
      <w:r>
        <w:fldChar w:fldCharType="begin"/>
      </w:r>
      <w:r>
        <w:instrText xml:space="preserve"> HYPERLINK \l _Toc25789 </w:instrText>
      </w:r>
      <w:r>
        <w:fldChar w:fldCharType="separate"/>
      </w:r>
      <w:r>
        <w:t xml:space="preserve">5.6 </w:t>
      </w:r>
      <w:r>
        <w:rPr>
          <w:rFonts w:hint="eastAsia"/>
        </w:rPr>
        <w:t>室内声源的影响</w:t>
      </w:r>
      <w:r>
        <w:tab/>
      </w:r>
      <w:r>
        <w:fldChar w:fldCharType="begin"/>
      </w:r>
      <w:r>
        <w:instrText xml:space="preserve"> PAGEREF _Toc25789 \h </w:instrText>
      </w:r>
      <w:r>
        <w:fldChar w:fldCharType="separate"/>
      </w:r>
      <w:r>
        <w:t>12</w:t>
      </w:r>
      <w:r>
        <w:fldChar w:fldCharType="end"/>
      </w:r>
      <w:r>
        <w:fldChar w:fldCharType="end"/>
      </w:r>
    </w:p>
    <w:p>
      <w:pPr>
        <w:pStyle w:val="19"/>
        <w:tabs>
          <w:tab w:val="right" w:leader="dot" w:pos="9070"/>
          <w:tab w:val="clear" w:pos="540"/>
          <w:tab w:val="clear" w:pos="9360"/>
        </w:tabs>
      </w:pPr>
      <w:r>
        <w:fldChar w:fldCharType="begin"/>
      </w:r>
      <w:r>
        <w:instrText xml:space="preserve"> HYPERLINK \l _Toc18879 </w:instrText>
      </w:r>
      <w:r>
        <w:fldChar w:fldCharType="separate"/>
      </w:r>
      <w:r>
        <w:t xml:space="preserve">5.7 </w:t>
      </w:r>
      <w:r>
        <w:rPr>
          <w:rFonts w:hint="eastAsia"/>
        </w:rPr>
        <w:t>室内噪声级计算</w:t>
      </w:r>
      <w:r>
        <w:tab/>
      </w:r>
      <w:r>
        <w:fldChar w:fldCharType="begin"/>
      </w:r>
      <w:r>
        <w:instrText xml:space="preserve"> PAGEREF _Toc18879 \h </w:instrText>
      </w:r>
      <w:r>
        <w:fldChar w:fldCharType="separate"/>
      </w:r>
      <w:r>
        <w:t>13</w:t>
      </w:r>
      <w:r>
        <w:fldChar w:fldCharType="end"/>
      </w:r>
      <w:r>
        <w:fldChar w:fldCharType="end"/>
      </w:r>
    </w:p>
    <w:p>
      <w:pPr>
        <w:pStyle w:val="18"/>
        <w:tabs>
          <w:tab w:val="right" w:leader="dot" w:pos="9070"/>
          <w:tab w:val="clear" w:pos="180"/>
          <w:tab w:val="clear" w:pos="9360"/>
        </w:tabs>
      </w:pPr>
      <w:r>
        <w:fldChar w:fldCharType="begin"/>
      </w:r>
      <w:r>
        <w:instrText xml:space="preserve"> HYPERLINK \l _Toc20012 </w:instrText>
      </w:r>
      <w:r>
        <w:fldChar w:fldCharType="separate"/>
      </w:r>
      <w:r>
        <w:rPr>
          <w:kern w:val="2"/>
        </w:rPr>
        <w:t xml:space="preserve">6 </w:t>
      </w:r>
      <w:r>
        <w:rPr>
          <w:rFonts w:hint="eastAsia"/>
          <w:kern w:val="2"/>
        </w:rPr>
        <w:t>结论</w:t>
      </w:r>
      <w:r>
        <w:tab/>
      </w:r>
      <w:r>
        <w:fldChar w:fldCharType="begin"/>
      </w:r>
      <w:r>
        <w:instrText xml:space="preserve"> PAGEREF _Toc20012 \h </w:instrText>
      </w:r>
      <w:r>
        <w:fldChar w:fldCharType="separate"/>
      </w:r>
      <w:r>
        <w:t>13</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2"/>
    </w:p>
    <w:p>
      <w:pPr>
        <w:pStyle w:val="2"/>
      </w:pPr>
      <w:bookmarkStart w:id="13" w:name="_Toc27293"/>
      <w:r>
        <w:rPr>
          <w:rFonts w:hint="eastAsia"/>
        </w:rPr>
        <w:t>建筑概况</w:t>
      </w:r>
      <w:bookmarkEnd w:id="13"/>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4" w:name="工程名称"/>
            <w:bookmarkEnd w:id="14"/>
            <w:r>
              <w:t>侨城滨江郦景小区S</w:t>
            </w:r>
            <w:r>
              <w:rPr>
                <w:rFonts w:hint="eastAsia"/>
                <w:lang w:val="en-US" w:eastAsia="zh-CN"/>
              </w:rPr>
              <w:t>2</w:t>
            </w: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5" w:name="地上建筑面积"/>
            <w:r>
              <w:t>60</w:t>
            </w:r>
            <w:bookmarkEnd w:id="15"/>
            <w:r>
              <w:rPr>
                <w:rFonts w:hint="eastAsia"/>
              </w:rPr>
              <w:t xml:space="preserve">          地下</w:t>
            </w:r>
            <w:bookmarkStart w:id="16" w:name="地下建筑面积"/>
            <w:r>
              <w:t>0</w:t>
            </w:r>
            <w:bookmarkEnd w:id="16"/>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7" w:name="地上建筑层数"/>
            <w:r>
              <w:t>1</w:t>
            </w:r>
            <w:bookmarkEnd w:id="17"/>
            <w:r>
              <w:rPr>
                <w:rFonts w:hint="eastAsia"/>
              </w:rPr>
              <w:t xml:space="preserve">          地下</w:t>
            </w:r>
            <w:bookmarkStart w:id="18" w:name="地下建筑层数"/>
            <w:r>
              <w:t>0</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9" w:name="地上建筑高度"/>
            <w:r>
              <w:t>4.1</w:t>
            </w:r>
            <w:bookmarkEnd w:id="19"/>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20" w:name="北向角度"/>
            <w:r>
              <w:t>90</w:t>
            </w:r>
            <w:bookmarkEnd w:id="20"/>
          </w:p>
        </w:tc>
      </w:tr>
    </w:tbl>
    <w:p>
      <w:pPr>
        <w:pStyle w:val="3"/>
        <w:spacing w:before="312" w:beforeLines="100"/>
        <w:jc w:val="center"/>
        <w:rPr>
          <w:lang w:val="en-US"/>
        </w:rPr>
      </w:pPr>
      <w:bookmarkStart w:id="21" w:name="单体模型观察图"/>
      <w:bookmarkEnd w:id="21"/>
      <w:bookmarkStart w:id="22" w:name="围护结构概况"/>
      <w:bookmarkEnd w:id="22"/>
      <w:r>
        <w:rPr>
          <w:lang w:val="en-US"/>
        </w:rPr>
        <w:t>请先在[模型观察]命令中保存图片！</w:t>
      </w:r>
    </w:p>
    <w:p>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pPr>
        <w:pStyle w:val="2"/>
      </w:pPr>
      <w:bookmarkStart w:id="23" w:name="_Toc17253"/>
      <w:r>
        <w:rPr>
          <w:rFonts w:hint="eastAsia"/>
        </w:rPr>
        <w:t>评价依据</w:t>
      </w:r>
      <w:bookmarkEnd w:id="23"/>
    </w:p>
    <w:p>
      <w:pPr>
        <w:pStyle w:val="3"/>
        <w:numPr>
          <w:ilvl w:val="0"/>
          <w:numId w:val="2"/>
        </w:numPr>
        <w:rPr>
          <w:lang w:val="en-US"/>
        </w:rPr>
      </w:pPr>
      <w:bookmarkStart w:id="24" w:name="计算依据"/>
      <w:bookmarkEnd w:id="24"/>
      <w:r>
        <w:rPr>
          <w:rFonts w:hint="eastAsia"/>
          <w:lang w:val="en-US"/>
        </w:rPr>
        <w:t>《绿色建筑评价标准》GB/T</w:t>
      </w:r>
      <w:r>
        <w:rPr>
          <w:lang w:val="en-US"/>
        </w:rPr>
        <w:t xml:space="preserve"> </w:t>
      </w:r>
      <w:r>
        <w:rPr>
          <w:rFonts w:hint="eastAsia"/>
          <w:lang w:val="en-US"/>
        </w:rPr>
        <w:t>50378-201</w:t>
      </w:r>
      <w:r>
        <w:rPr>
          <w:lang w:val="en-US"/>
        </w:rPr>
        <w:t>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《建筑隔声设计-空气声隔声技术》</w:t>
      </w:r>
    </w:p>
    <w:p>
      <w:pPr>
        <w:pStyle w:val="27"/>
        <w:numPr>
          <w:ilvl w:val="0"/>
          <w:numId w:val="2"/>
        </w:numPr>
        <w:ind w:firstLineChars="0"/>
        <w:rPr>
          <w:sz w:val="21"/>
          <w:szCs w:val="21"/>
          <w:lang w:val="en-US"/>
        </w:rPr>
      </w:pPr>
      <w:r>
        <w:rPr>
          <w:rFonts w:hint="eastAsia"/>
          <w:sz w:val="21"/>
          <w:szCs w:val="21"/>
          <w:lang w:val="en-US"/>
        </w:rPr>
        <w:t>《民用建筑绿色性能计算标准》</w:t>
      </w:r>
      <w:r>
        <w:rPr>
          <w:sz w:val="21"/>
          <w:szCs w:val="21"/>
          <w:lang w:val="en-US"/>
        </w:rPr>
        <w:t xml:space="preserve">JGJ/T 449-2018 </w:t>
      </w:r>
    </w:p>
    <w:p>
      <w:pPr>
        <w:pStyle w:val="27"/>
        <w:widowControl w:val="0"/>
        <w:ind w:left="360" w:firstLine="0" w:firstLineChars="0"/>
        <w:jc w:val="both"/>
        <w:rPr>
          <w:kern w:val="2"/>
          <w:szCs w:val="24"/>
          <w:lang w:val="en-US"/>
        </w:rPr>
      </w:pPr>
    </w:p>
    <w:p>
      <w:pPr>
        <w:pStyle w:val="2"/>
      </w:pPr>
      <w:bookmarkStart w:id="25" w:name="_Toc9673"/>
      <w:r>
        <w:rPr>
          <w:rFonts w:hint="eastAsia"/>
        </w:rPr>
        <w:t>标准</w:t>
      </w:r>
      <w:r>
        <w:t>要求</w:t>
      </w:r>
      <w:bookmarkEnd w:id="25"/>
    </w:p>
    <w:p>
      <w:pPr>
        <w:pStyle w:val="3"/>
        <w:ind w:firstLine="420" w:firstLineChars="200"/>
      </w:pPr>
      <w:r>
        <w:rPr>
          <w:rFonts w:hint="eastAsia"/>
        </w:rPr>
        <w:t>《绿色建筑评价标准》GB/T 50378-2019第5.1.</w:t>
      </w:r>
      <w:r>
        <w:t>4</w:t>
      </w:r>
      <w:r>
        <w:rPr>
          <w:rFonts w:hint="eastAsia"/>
        </w:rPr>
        <w:t>条、第5.2.</w:t>
      </w:r>
      <w:r>
        <w:t>6</w:t>
      </w:r>
      <w:r>
        <w:rPr>
          <w:rFonts w:hint="eastAsia"/>
        </w:rPr>
        <w:t>条对主要功能房间提出了明确要求。</w:t>
      </w:r>
    </w:p>
    <w:p>
      <w:pPr>
        <w:pStyle w:val="3"/>
        <w:numPr>
          <w:ilvl w:val="0"/>
          <w:numId w:val="3"/>
        </w:numPr>
        <w:rPr>
          <w:bCs/>
        </w:rPr>
      </w:pPr>
      <w:r>
        <w:rPr>
          <w:rFonts w:hint="eastAsia"/>
          <w:bCs/>
        </w:rPr>
        <w:t>控制项要求</w:t>
      </w:r>
      <w:r>
        <w:rPr>
          <w:bCs/>
        </w:rPr>
        <w:t>：</w:t>
      </w:r>
    </w:p>
    <w:p>
      <w:pPr>
        <w:pStyle w:val="3"/>
        <w:ind w:left="360" w:leftChars="200"/>
      </w:pPr>
      <w:r>
        <w:rPr>
          <w:rFonts w:hint="eastAsia"/>
        </w:rPr>
        <w:t>5. 1. 4 主要功能房间的室内噪声级和隔声性能应符合下列规定：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Cs/>
        </w:rPr>
      </w:pPr>
      <w:r>
        <w:rPr>
          <w:rFonts w:hint="eastAsia"/>
          <w:bCs/>
        </w:rPr>
        <w:t>评分项要求</w:t>
      </w:r>
      <w:r>
        <w:rPr>
          <w:bCs/>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numPr>
          <w:ilvl w:val="0"/>
          <w:numId w:val="1"/>
        </w:numPr>
        <w:rPr>
          <w:kern w:val="2"/>
        </w:rPr>
      </w:pPr>
      <w:bookmarkStart w:id="26" w:name="_Toc14358"/>
      <w:r>
        <w:rPr>
          <w:rFonts w:hint="eastAsia"/>
          <w:kern w:val="2"/>
        </w:rPr>
        <w:t>计算原理</w:t>
      </w:r>
      <w:bookmarkEnd w:id="26"/>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27" w:name="_Toc5549"/>
      <w:r>
        <w:rPr>
          <w:rFonts w:hint="eastAsia"/>
        </w:rPr>
        <w:t>最不利</w:t>
      </w:r>
      <w:r>
        <w:t>房间确定</w:t>
      </w:r>
      <w:bookmarkEnd w:id="27"/>
    </w:p>
    <w:p>
      <w:pPr>
        <w:pStyle w:val="3"/>
        <w:numPr>
          <w:ilvl w:val="0"/>
          <w:numId w:val="4"/>
        </w:numPr>
      </w:pPr>
      <w:bookmarkStart w:id="28" w:name="_Hlk498956250"/>
      <w:bookmarkStart w:id="29"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8"/>
    </w:p>
    <w:p>
      <w:pPr>
        <w:pStyle w:val="3"/>
        <w:numPr>
          <w:ilvl w:val="0"/>
          <w:numId w:val="4"/>
        </w:numPr>
      </w:pPr>
      <w:r>
        <w:t>也可以根据项目实际情况和经验常识自选最不利房间进行评价，如靠近交通要道的卧室、办公室等。</w:t>
      </w:r>
    </w:p>
    <w:p>
      <w:pPr>
        <w:pStyle w:val="4"/>
      </w:pPr>
      <w:bookmarkStart w:id="30" w:name="_Toc15521"/>
      <w:r>
        <w:rPr>
          <w:rFonts w:hint="eastAsia"/>
        </w:rPr>
        <w:t>室内</w:t>
      </w:r>
      <w:r>
        <w:t>噪声级</w:t>
      </w:r>
      <w:r>
        <w:rPr>
          <w:rFonts w:hint="eastAsia"/>
        </w:rPr>
        <w:t>计算</w:t>
      </w:r>
      <w:bookmarkEnd w:id="30"/>
    </w:p>
    <w:p>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31" w:name="_Toc20751"/>
      <w:r>
        <w:rPr>
          <w:rFonts w:hint="eastAsia"/>
          <w:kern w:val="2"/>
        </w:rPr>
        <w:t>计算</w:t>
      </w:r>
      <w:r>
        <w:rPr>
          <w:kern w:val="2"/>
        </w:rPr>
        <w:t>过程</w:t>
      </w:r>
      <w:bookmarkEnd w:id="31"/>
    </w:p>
    <w:p>
      <w:pPr>
        <w:pStyle w:val="4"/>
      </w:pPr>
      <w:bookmarkStart w:id="32" w:name="_Toc24216"/>
      <w:r>
        <w:rPr>
          <w:rFonts w:hint="eastAsia"/>
        </w:rPr>
        <w:t>室外边界噪声</w:t>
      </w:r>
      <w:bookmarkEnd w:id="32"/>
    </w:p>
    <w:p>
      <w:pPr>
        <w:pStyle w:val="5"/>
      </w:pPr>
      <w:bookmarkStart w:id="33" w:name="_Toc24950"/>
      <w:r>
        <w:rPr>
          <w:rFonts w:hint="eastAsia"/>
        </w:rPr>
        <w:t>环境</w:t>
      </w:r>
      <w:r>
        <w:t>噪声分析</w:t>
      </w:r>
      <w:bookmarkEnd w:id="33"/>
    </w:p>
    <w:p>
      <w:pPr>
        <w:pStyle w:val="3"/>
        <w:ind w:firstLine="420"/>
        <w:rPr>
          <w:rFonts w:cs="Times New Roman"/>
        </w:rPr>
      </w:pPr>
      <w:r>
        <w:rPr>
          <w:rFonts w:hint="eastAsia"/>
        </w:rPr>
        <w:t>环境噪声，是指在交通运输、社会生活、工业生产中所产生的干扰周围生活环境的噪声。室外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通过室外场地噪声模拟可提取参评建筑边界噪声，进一步可以获得最不利房间周边环境噪声值，</w:t>
      </w:r>
      <w:r>
        <w:rPr>
          <w:rFonts w:hint="eastAsia" w:cs="Times New Roman"/>
        </w:rPr>
        <w:t>室外计算结果可作为噪声边界条件接力进行后续建筑室内隔声性能的计算。</w:t>
      </w:r>
    </w:p>
    <w:p>
      <w:pPr>
        <w:pStyle w:val="3"/>
        <w:ind w:firstLine="420"/>
        <w:rPr>
          <w:lang w:val="en-US"/>
        </w:rPr>
      </w:pPr>
      <w:r>
        <w:rPr>
          <w:rFonts w:hint="eastAsia" w:cs="Times New Roman"/>
        </w:rPr>
        <w:t>场地水平噪声面（高度1.5m）模拟计算分析图如下图所示：</w:t>
      </w:r>
    </w:p>
    <w:p>
      <w:pPr>
        <w:pStyle w:val="3"/>
        <w:ind w:firstLine="420"/>
        <w:rPr>
          <w:kern w:val="2"/>
          <w:lang w:val="en-US"/>
        </w:rPr>
      </w:pPr>
    </w:p>
    <w:p>
      <w:pPr>
        <w:jc w:val="center"/>
        <w:rPr>
          <w:rFonts w:ascii="Times New Roman" w:hAnsi="Times New Roman"/>
        </w:rPr>
      </w:pPr>
      <w:bookmarkStart w:id="34" w:name="场地噪声分布俯瞰昼"/>
      <w:bookmarkEnd w:id="34"/>
    </w:p>
    <w:p>
      <w:pPr>
        <w:jc w:val="center"/>
        <w:rPr>
          <w:szCs w:val="20"/>
        </w:rPr>
      </w:pPr>
      <w:r>
        <w:rPr>
          <w:rFonts w:hint="eastAsia"/>
          <w:szCs w:val="20"/>
        </w:rPr>
        <w:t>图5</w:t>
      </w:r>
      <w:r>
        <w:rPr>
          <w:szCs w:val="20"/>
        </w:rPr>
        <w:t>-1</w:t>
      </w:r>
      <w:r>
        <w:rPr>
          <w:rFonts w:hint="eastAsia"/>
          <w:szCs w:val="20"/>
        </w:rPr>
        <w:t xml:space="preserve"> 场地1.</w:t>
      </w:r>
      <w:r>
        <w:rPr>
          <w:szCs w:val="20"/>
        </w:rPr>
        <w:t>5m高度处</w:t>
      </w:r>
      <w:r>
        <w:rPr>
          <w:rFonts w:hint="eastAsia"/>
          <w:szCs w:val="20"/>
        </w:rPr>
        <w:t>声压级</w:t>
      </w:r>
      <w:r>
        <w:rPr>
          <w:szCs w:val="20"/>
        </w:rPr>
        <w:t>分布图（</w:t>
      </w:r>
      <w:r>
        <w:rPr>
          <w:rFonts w:hint="eastAsia"/>
          <w:szCs w:val="20"/>
        </w:rPr>
        <w:t>昼间</w:t>
      </w:r>
      <w:r>
        <w:rPr>
          <w:szCs w:val="20"/>
        </w:rPr>
        <w:t>）</w:t>
      </w:r>
    </w:p>
    <w:p>
      <w:pPr>
        <w:jc w:val="center"/>
        <w:rPr>
          <w:rFonts w:ascii="黑体" w:hAnsi="黑体" w:eastAsia="黑体"/>
          <w:szCs w:val="20"/>
        </w:rPr>
      </w:pPr>
    </w:p>
    <w:p>
      <w:pPr>
        <w:jc w:val="center"/>
        <w:rPr>
          <w:rFonts w:ascii="Times New Roman" w:hAnsi="Times New Roman"/>
        </w:rPr>
      </w:pPr>
      <w:bookmarkStart w:id="35" w:name="场地噪声分布俯瞰夜"/>
      <w:bookmarkEnd w:id="35"/>
    </w:p>
    <w:p>
      <w:pPr>
        <w:jc w:val="center"/>
        <w:rPr>
          <w:szCs w:val="20"/>
        </w:rPr>
      </w:pPr>
      <w:r>
        <w:rPr>
          <w:rFonts w:hint="eastAsia"/>
          <w:szCs w:val="20"/>
        </w:rPr>
        <w:t>图5</w:t>
      </w:r>
      <w:r>
        <w:rPr>
          <w:szCs w:val="20"/>
        </w:rPr>
        <w:t xml:space="preserve">-2 </w:t>
      </w:r>
      <w:r>
        <w:rPr>
          <w:rFonts w:hint="eastAsia"/>
          <w:szCs w:val="20"/>
        </w:rPr>
        <w:t>场地1.</w:t>
      </w:r>
      <w:r>
        <w:rPr>
          <w:szCs w:val="20"/>
        </w:rPr>
        <w:t>5m高度处</w:t>
      </w:r>
      <w:r>
        <w:rPr>
          <w:rFonts w:hint="eastAsia"/>
          <w:szCs w:val="20"/>
        </w:rPr>
        <w:t>声压级</w:t>
      </w:r>
      <w:r>
        <w:rPr>
          <w:szCs w:val="20"/>
        </w:rPr>
        <w:t>分布图（</w:t>
      </w:r>
      <w:r>
        <w:rPr>
          <w:rFonts w:hint="eastAsia"/>
          <w:szCs w:val="20"/>
        </w:rPr>
        <w:t>夜间</w:t>
      </w:r>
      <w:r>
        <w:rPr>
          <w:szCs w:val="20"/>
        </w:rPr>
        <w:t>）</w:t>
      </w:r>
    </w:p>
    <w:p>
      <w:pPr>
        <w:jc w:val="center"/>
      </w:pPr>
    </w:p>
    <w:p>
      <w:pPr>
        <w:ind w:firstLine="420"/>
        <w:rPr>
          <w:sz w:val="21"/>
          <w:szCs w:val="21"/>
          <w:lang w:val="en-US"/>
        </w:rPr>
      </w:pPr>
      <w:r>
        <w:rPr>
          <w:rFonts w:hint="eastAsia"/>
          <w:sz w:val="21"/>
          <w:szCs w:val="21"/>
          <w:lang w:val="en-US"/>
        </w:rPr>
        <w:t>通过室外场地建筑物立面噪声模拟，参评建筑物立面边界噪声分布如下图所示：</w:t>
      </w:r>
    </w:p>
    <w:p>
      <w:pPr>
        <w:jc w:val="center"/>
        <w:rPr>
          <w:lang w:val="en-US"/>
        </w:rPr>
      </w:pPr>
      <w:bookmarkStart w:id="36" w:name="参评建筑边界噪声图昼间"/>
      <w:bookmarkEnd w:id="36"/>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3参评建筑边界噪声图-昼间</w:t>
      </w:r>
    </w:p>
    <w:p>
      <w:pPr>
        <w:jc w:val="center"/>
        <w:rPr>
          <w:lang w:val="en-US"/>
        </w:rPr>
      </w:pPr>
      <w:bookmarkStart w:id="37" w:name="参评建筑边界噪声图夜间"/>
      <w:bookmarkEnd w:id="37"/>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4参评建筑边界噪声图-夜间</w:t>
      </w:r>
    </w:p>
    <w:p>
      <w:pPr>
        <w:jc w:val="center"/>
        <w:rPr>
          <w:lang w:val="en-US"/>
        </w:rPr>
      </w:pPr>
    </w:p>
    <w:p>
      <w:pPr>
        <w:pStyle w:val="5"/>
      </w:pPr>
      <w:bookmarkStart w:id="38" w:name="_Toc29344"/>
      <w:r>
        <w:rPr>
          <w:rFonts w:hint="eastAsia"/>
        </w:rPr>
        <w:t>房间</w:t>
      </w:r>
      <w:r>
        <w:t>边界噪声</w:t>
      </w:r>
      <w:bookmarkEnd w:id="38"/>
    </w:p>
    <w:p>
      <w:pPr>
        <w:pStyle w:val="3"/>
        <w:ind w:firstLine="420"/>
        <w:rPr>
          <w:lang w:val="en-US"/>
        </w:rPr>
      </w:pPr>
      <w:r>
        <w:rPr>
          <w:rFonts w:hint="eastAsia"/>
          <w:lang w:val="en-US"/>
        </w:rPr>
        <w:t>本项目通过对参评建筑整栋建筑的分析，确定了主要功能房间中噪声级最不利的房间为</w:t>
      </w:r>
      <w:bookmarkStart w:id="39" w:name="最不利房间编号2"/>
      <w:r>
        <w:rPr>
          <w:rFonts w:hint="eastAsia"/>
          <w:lang w:val="en-US"/>
        </w:rPr>
        <w:t>1001房间,房间类型[商场商店]</w:t>
      </w:r>
      <w:bookmarkEnd w:id="39"/>
      <w:r>
        <w:rPr>
          <w:rFonts w:hint="eastAsia"/>
          <w:lang w:val="en-US"/>
        </w:rPr>
        <w:t>，报告书阐述该房间室内噪声级计算过程，房间所在楼层平面图如下图所示：</w:t>
      </w:r>
    </w:p>
    <w:p>
      <w:pPr>
        <w:jc w:val="center"/>
        <w:rPr>
          <w:kern w:val="2"/>
          <w:szCs w:val="21"/>
          <w:lang w:val="en-US"/>
        </w:rPr>
      </w:pPr>
      <w:bookmarkStart w:id="40" w:name="最不利房间楼层平面图"/>
      <w:bookmarkEnd w:id="40"/>
      <w:r>
        <w:drawing>
          <wp:inline distT="0" distB="0" distL="0" distR="0">
            <wp:extent cx="5667375" cy="49815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9"/>
                    <a:stretch>
                      <a:fillRect/>
                    </a:stretch>
                  </pic:blipFill>
                  <pic:spPr>
                    <a:xfrm>
                      <a:off x="0" y="0"/>
                      <a:ext cx="5667375" cy="4981575"/>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w:t>
      </w:r>
      <w:r>
        <w:rPr>
          <w:rFonts w:hint="eastAsia"/>
          <w:kern w:val="2"/>
          <w:szCs w:val="21"/>
          <w:lang w:val="en-US"/>
        </w:rPr>
        <w:t>-5 最不利</w:t>
      </w:r>
      <w:r>
        <w:rPr>
          <w:kern w:val="2"/>
          <w:szCs w:val="21"/>
          <w:lang w:val="en-US"/>
        </w:rPr>
        <w:t>房间楼层平面图</w:t>
      </w:r>
    </w:p>
    <w:p>
      <w:pPr>
        <w:pStyle w:val="3"/>
        <w:ind w:firstLine="420"/>
        <w:jc w:val="left"/>
        <w:rPr>
          <w:lang w:val="en-US"/>
        </w:rPr>
      </w:pPr>
    </w:p>
    <w:p>
      <w:pPr>
        <w:pStyle w:val="3"/>
        <w:ind w:firstLine="420"/>
        <w:jc w:val="left"/>
        <w:rPr>
          <w:lang w:val="en-US"/>
        </w:rPr>
      </w:pPr>
      <w:r>
        <w:rPr>
          <w:rFonts w:hint="eastAsia"/>
          <w:lang w:val="en-US"/>
        </w:rPr>
        <w:t>通过室外噪声模拟，可获得该房间的室外边界噪声：</w:t>
      </w:r>
    </w:p>
    <w:p>
      <w:pPr>
        <w:pStyle w:val="3"/>
        <w:ind w:firstLine="420"/>
        <w:jc w:val="left"/>
        <w:rPr>
          <w:b/>
          <w:lang w:val="en-US"/>
        </w:rPr>
      </w:pPr>
      <w:r>
        <w:rPr>
          <w:rFonts w:hint="eastAsia"/>
          <w:b/>
          <w:lang w:val="en-US"/>
        </w:rPr>
        <w:t>昼间为</w:t>
      </w:r>
      <w:bookmarkStart w:id="41" w:name="昼间边界噪声2"/>
      <w:r>
        <w:t>53</w:t>
      </w:r>
      <w:bookmarkEnd w:id="41"/>
      <w:r>
        <w:rPr>
          <w:rFonts w:hint="eastAsia"/>
          <w:b/>
          <w:lang w:val="en-US"/>
        </w:rPr>
        <w:t>dB</w:t>
      </w:r>
      <w:r>
        <w:rPr>
          <w:b/>
          <w:lang w:val="en-US"/>
        </w:rPr>
        <w:t>(A)</w:t>
      </w:r>
      <w:r>
        <w:rPr>
          <w:rFonts w:hint="eastAsia"/>
          <w:b/>
          <w:lang w:val="en-US"/>
        </w:rPr>
        <w:t>， 夜间为</w:t>
      </w:r>
      <w:bookmarkStart w:id="42" w:name="夜间边界噪声2"/>
      <w:r>
        <w:t>46</w:t>
      </w:r>
      <w:bookmarkEnd w:id="42"/>
      <w:r>
        <w:rPr>
          <w:b/>
          <w:lang w:val="en-US"/>
        </w:rPr>
        <w:t>dB(A)</w:t>
      </w:r>
      <w:r>
        <w:rPr>
          <w:rFonts w:hint="eastAsia"/>
          <w:b/>
          <w:lang w:val="en-US"/>
        </w:rPr>
        <w:t>。</w:t>
      </w:r>
    </w:p>
    <w:p>
      <w:pPr>
        <w:rPr>
          <w:kern w:val="2"/>
          <w:szCs w:val="21"/>
          <w:lang w:val="en-US"/>
        </w:rPr>
      </w:pPr>
    </w:p>
    <w:p>
      <w:pPr>
        <w:pStyle w:val="4"/>
        <w:numPr>
          <w:ilvl w:val="1"/>
          <w:numId w:val="1"/>
        </w:numPr>
      </w:pPr>
      <w:bookmarkStart w:id="43" w:name="_Toc23877"/>
      <w:r>
        <w:t>构件空气声隔声</w:t>
      </w:r>
      <w:bookmarkEnd w:id="43"/>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w:t>
            </w:r>
          </w:p>
        </w:tc>
        <w:tc>
          <w:tcPr>
            <w:vAlign w:val="center"/>
          </w:tcPr>
          <w:p>
            <w:r>
              <w:t>石灰水泥砂浆（混合砂浆）</w:t>
            </w:r>
          </w:p>
        </w:tc>
        <w:tc>
          <w:tcPr>
            <w:vAlign w:val="center"/>
          </w:tcPr>
          <w:p>
            <w:pPr>
              <w:jc w:val="center"/>
            </w:pPr>
            <w:r>
              <w:t>2</w:t>
            </w:r>
          </w:p>
        </w:tc>
        <w:tc>
          <w:tcPr>
            <w:vAlign w:val="center"/>
          </w:tcPr>
          <w:p>
            <w:pPr>
              <w:jc w:val="center"/>
            </w:pPr>
            <w:r>
              <w:t>1700</w:t>
            </w:r>
          </w:p>
        </w:tc>
        <w:tc>
          <w:tcPr>
            <w:vAlign w:val="center"/>
          </w:tcPr>
          <w:p>
            <w:pPr>
              <w:jc w:val="center"/>
            </w:pPr>
            <w:r>
              <w:t>3</w:t>
            </w:r>
          </w:p>
        </w:tc>
        <w:tc>
          <w:tcPr>
            <w:vMerge w:val="restart"/>
            <w:vAlign w:val="center"/>
          </w:tcPr>
          <w:p>
            <w:pPr>
              <w:jc w:val="center"/>
            </w:pPr>
            <w:r>
              <w:t>160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AAC</w:t>
            </w:r>
          </w:p>
        </w:tc>
        <w:tc>
          <w:tcPr>
            <w:vAlign w:val="center"/>
          </w:tcPr>
          <w:p>
            <w:pPr>
              <w:jc w:val="center"/>
            </w:pPr>
            <w:r>
              <w:t>300</w:t>
            </w:r>
          </w:p>
        </w:tc>
        <w:tc>
          <w:tcPr>
            <w:vAlign w:val="center"/>
          </w:tcPr>
          <w:p>
            <w:pPr>
              <w:jc w:val="center"/>
            </w:pPr>
            <w:r>
              <w:t>510</w:t>
            </w:r>
          </w:p>
        </w:tc>
        <w:tc>
          <w:tcPr>
            <w:vAlign w:val="center"/>
          </w:tcPr>
          <w:p>
            <w:pPr>
              <w:jc w:val="center"/>
            </w:pPr>
            <w:r>
              <w:t>153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玻化微珠保温浆料</w:t>
            </w:r>
          </w:p>
        </w:tc>
        <w:tc>
          <w:tcPr>
            <w:vAlign w:val="center"/>
          </w:tcPr>
          <w:p>
            <w:pPr>
              <w:jc w:val="center"/>
            </w:pPr>
            <w:r>
              <w:t>10</w:t>
            </w:r>
          </w:p>
        </w:tc>
        <w:tc>
          <w:tcPr>
            <w:vAlign w:val="center"/>
          </w:tcPr>
          <w:p>
            <w:pPr>
              <w:jc w:val="center"/>
            </w:pPr>
            <w:r>
              <w:t>350</w:t>
            </w:r>
          </w:p>
        </w:tc>
        <w:tc>
          <w:tcPr>
            <w:vAlign w:val="center"/>
          </w:tcPr>
          <w:p>
            <w:pPr>
              <w:jc w:val="center"/>
            </w:pPr>
            <w:r>
              <w:t>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隔墙</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568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钢筋混凝土</w:t>
            </w:r>
          </w:p>
        </w:tc>
        <w:tc>
          <w:tcPr>
            <w:vAlign w:val="center"/>
          </w:tcPr>
          <w:p>
            <w:pPr>
              <w:jc w:val="center"/>
            </w:pPr>
            <w:r>
              <w:t>200</w:t>
            </w:r>
          </w:p>
        </w:tc>
        <w:tc>
          <w:tcPr>
            <w:vAlign w:val="center"/>
          </w:tcPr>
          <w:p>
            <w:pPr>
              <w:jc w:val="center"/>
            </w:pPr>
            <w:r>
              <w:t>2500</w:t>
            </w:r>
          </w:p>
        </w:tc>
        <w:tc>
          <w:tcPr>
            <w:vAlign w:val="center"/>
          </w:tcPr>
          <w:p>
            <w:pPr>
              <w:jc w:val="center"/>
            </w:pPr>
            <w:r>
              <w:t>500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屋顶</w:t>
            </w:r>
          </w:p>
        </w:tc>
        <w:tc>
          <w:tcPr>
            <w:vAlign w:val="center"/>
          </w:tcPr>
          <w:p>
            <w:r>
              <w:t>碎石、卵石混凝土(ρ=2300)</w:t>
            </w:r>
          </w:p>
        </w:tc>
        <w:tc>
          <w:tcPr>
            <w:vAlign w:val="center"/>
          </w:tcPr>
          <w:p>
            <w:pPr>
              <w:jc w:val="center"/>
            </w:pPr>
            <w:r>
              <w:t>40</w:t>
            </w:r>
          </w:p>
        </w:tc>
        <w:tc>
          <w:tcPr>
            <w:vAlign w:val="center"/>
          </w:tcPr>
          <w:p>
            <w:pPr>
              <w:jc w:val="center"/>
            </w:pPr>
            <w:r>
              <w:t>2300</w:t>
            </w:r>
          </w:p>
        </w:tc>
        <w:tc>
          <w:tcPr>
            <w:vAlign w:val="center"/>
          </w:tcPr>
          <w:p>
            <w:pPr>
              <w:jc w:val="center"/>
            </w:pPr>
            <w:r>
              <w:t>92</w:t>
            </w:r>
          </w:p>
        </w:tc>
        <w:tc>
          <w:tcPr>
            <w:vMerge w:val="restart"/>
            <w:vAlign w:val="center"/>
          </w:tcPr>
          <w:p>
            <w:pPr>
              <w:jc w:val="center"/>
            </w:pPr>
            <w:r>
              <w:t>496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碎石、卵石混凝土(ρ=2300)</w:t>
            </w:r>
          </w:p>
        </w:tc>
        <w:tc>
          <w:tcPr>
            <w:vAlign w:val="center"/>
          </w:tcPr>
          <w:p>
            <w:pPr>
              <w:jc w:val="center"/>
            </w:pPr>
            <w:r>
              <w:t>30</w:t>
            </w:r>
          </w:p>
        </w:tc>
        <w:tc>
          <w:tcPr>
            <w:vAlign w:val="center"/>
          </w:tcPr>
          <w:p>
            <w:pPr>
              <w:jc w:val="center"/>
            </w:pPr>
            <w:r>
              <w:t>2300</w:t>
            </w:r>
          </w:p>
        </w:tc>
        <w:tc>
          <w:tcPr>
            <w:vAlign w:val="center"/>
          </w:tcPr>
          <w:p>
            <w:pPr>
              <w:jc w:val="center"/>
            </w:pPr>
            <w:r>
              <w:t>69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挤塑聚苯乙烯泡沫塑料（带表皮）</w:t>
            </w:r>
          </w:p>
        </w:tc>
        <w:tc>
          <w:tcPr>
            <w:vAlign w:val="center"/>
          </w:tcPr>
          <w:p>
            <w:pPr>
              <w:jc w:val="center"/>
            </w:pPr>
            <w:r>
              <w:t>80</w:t>
            </w:r>
          </w:p>
        </w:tc>
        <w:tc>
          <w:tcPr>
            <w:vAlign w:val="center"/>
          </w:tcPr>
          <w:p>
            <w:pPr>
              <w:jc w:val="center"/>
            </w:pPr>
            <w:r>
              <w:t>35</w:t>
            </w:r>
          </w:p>
        </w:tc>
        <w:tc>
          <w:tcPr>
            <w:vAlign w:val="center"/>
          </w:tcPr>
          <w:p>
            <w:pPr>
              <w:jc w:val="center"/>
            </w:pPr>
            <w:r>
              <w:t>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bl>
    <w:p>
      <w:pPr>
        <w:jc w:val="center"/>
        <w:rPr>
          <w:lang w:val="en-US"/>
        </w:rPr>
      </w:pPr>
      <w:bookmarkStart w:id="44" w:name="最不利房间围护结构材料清单"/>
      <w:bookmarkEnd w:id="44"/>
    </w:p>
    <w:p>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pPr>
        <w:pStyle w:val="3"/>
        <w:ind w:left="840"/>
        <w:jc w:val="center"/>
        <w:rPr>
          <w:lang w:val="en-US"/>
        </w:rPr>
      </w:pPr>
      <w:r>
        <w:rPr>
          <w:i/>
          <w:lang w:val="en-US"/>
        </w:rPr>
        <w:t>R</w:t>
      </w:r>
      <w:r>
        <w:rPr>
          <w:lang w:val="en-US"/>
        </w:rPr>
        <w:t>=</w:t>
      </w:r>
      <w:bookmarkStart w:id="45" w:name="公式A1"/>
      <w:r>
        <w:t>23</w:t>
      </w:r>
      <w:bookmarkEnd w:id="45"/>
      <w:r>
        <w:rPr>
          <w:rFonts w:hint="eastAsia"/>
          <w:i/>
          <w:lang w:val="en-US"/>
        </w:rPr>
        <w:t>lg</w:t>
      </w:r>
      <w:r>
        <w:rPr>
          <w:lang w:val="en-US"/>
        </w:rPr>
        <w:t xml:space="preserve"> </w:t>
      </w:r>
      <w:r>
        <w:rPr>
          <w:rFonts w:hint="eastAsia"/>
          <w:lang w:val="en-US"/>
        </w:rPr>
        <w:t>m</w:t>
      </w:r>
      <w:r>
        <w:rPr>
          <w:lang w:val="en-US"/>
        </w:rPr>
        <w:t>+</w:t>
      </w:r>
      <w:bookmarkStart w:id="46" w:name="公式B1"/>
      <w:r>
        <w:t>11</w:t>
      </w:r>
      <w:bookmarkEnd w:id="46"/>
      <w:r>
        <w:rPr>
          <w:rFonts w:hint="eastAsia"/>
          <w:i/>
          <w:lang w:val="en-US"/>
        </w:rPr>
        <w:t>lg</w:t>
      </w:r>
      <w:r>
        <w:rPr>
          <w:i/>
          <w:lang w:val="en-US"/>
        </w:rPr>
        <w:t xml:space="preserve"> </w:t>
      </w:r>
      <w:r>
        <w:rPr>
          <w:rFonts w:hint="eastAsia"/>
          <w:lang w:val="en-US"/>
        </w:rPr>
        <w:t>f</w:t>
      </w:r>
      <w:bookmarkStart w:id="47" w:name="公式C1"/>
      <w:r>
        <w:t>-41</w:t>
      </w:r>
      <w:bookmarkEnd w:id="47"/>
      <w:r>
        <w:rPr>
          <w:lang w:val="en-US"/>
        </w:rPr>
        <w:t xml:space="preserve">      （m</w:t>
      </w:r>
      <w:r>
        <w:rPr>
          <w:rFonts w:cs="宋体"/>
          <w:lang w:val="en-US"/>
        </w:rPr>
        <w:t>≥200kg/m</w:t>
      </w:r>
      <w:r>
        <w:rPr>
          <w:rFonts w:cs="宋体"/>
          <w:vertAlign w:val="superscript"/>
          <w:lang w:val="en-US"/>
        </w:rPr>
        <w:t>2</w:t>
      </w:r>
      <w:r>
        <w:rPr>
          <w:lang w:val="en-US"/>
        </w:rPr>
        <w:t>）</w:t>
      </w:r>
    </w:p>
    <w:p>
      <w:pPr>
        <w:pStyle w:val="3"/>
        <w:ind w:left="840"/>
        <w:jc w:val="center"/>
        <w:rPr>
          <w:lang w:val="en-US"/>
        </w:rPr>
      </w:pPr>
      <w:r>
        <w:rPr>
          <w:i/>
          <w:lang w:val="en-US"/>
        </w:rPr>
        <w:t>R</w:t>
      </w:r>
      <w:r>
        <w:rPr>
          <w:lang w:val="en-US"/>
        </w:rPr>
        <w:t>=</w:t>
      </w:r>
      <w:bookmarkStart w:id="48" w:name="公式A2"/>
      <w:r>
        <w:t>13</w:t>
      </w:r>
      <w:bookmarkEnd w:id="48"/>
      <w:r>
        <w:rPr>
          <w:rFonts w:hint="eastAsia"/>
          <w:i/>
          <w:lang w:val="en-US"/>
        </w:rPr>
        <w:t>lg</w:t>
      </w:r>
      <w:r>
        <w:rPr>
          <w:lang w:val="en-US"/>
        </w:rPr>
        <w:t xml:space="preserve"> </w:t>
      </w:r>
      <w:r>
        <w:rPr>
          <w:rFonts w:hint="eastAsia"/>
          <w:lang w:val="en-US"/>
        </w:rPr>
        <w:t>m</w:t>
      </w:r>
      <w:r>
        <w:rPr>
          <w:lang w:val="en-US"/>
        </w:rPr>
        <w:t>+</w:t>
      </w:r>
      <w:bookmarkStart w:id="49" w:name="公式B2"/>
      <w:r>
        <w:t>11</w:t>
      </w:r>
      <w:bookmarkEnd w:id="49"/>
      <w:r>
        <w:rPr>
          <w:rFonts w:hint="eastAsia"/>
          <w:i/>
          <w:lang w:val="en-US"/>
        </w:rPr>
        <w:t>lg</w:t>
      </w:r>
      <w:r>
        <w:rPr>
          <w:i/>
          <w:lang w:val="en-US"/>
        </w:rPr>
        <w:t xml:space="preserve"> </w:t>
      </w:r>
      <w:r>
        <w:rPr>
          <w:rFonts w:hint="eastAsia"/>
          <w:lang w:val="en-US"/>
        </w:rPr>
        <w:t>f</w:t>
      </w:r>
      <w:bookmarkStart w:id="50" w:name="公式C2"/>
      <w:r>
        <w:t>-18</w:t>
      </w:r>
      <w:bookmarkEnd w:id="50"/>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numPr>
          <w:ilvl w:val="0"/>
          <w:numId w:val="6"/>
        </w:numPr>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rPr>
                <w:rFonts w:hint="eastAsia" w:eastAsia="微软雅黑"/>
                <w:lang w:eastAsia="zh-CN"/>
              </w:rPr>
            </w:pPr>
            <w:r>
              <w:t>外墙构造1</w:t>
            </w:r>
          </w:p>
          <w:p>
            <w:pPr>
              <w:jc w:val="center"/>
              <w:rPr>
                <w:rFonts w:hint="eastAsia" w:eastAsia="微软雅黑"/>
                <w:lang w:eastAsia="zh-CN"/>
              </w:rPr>
            </w:pP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33.7</w:t>
            </w:r>
          </w:p>
        </w:tc>
        <w:tc>
          <w:tcPr>
            <w:vAlign w:val="center"/>
          </w:tcPr>
          <w:p>
            <w:r>
              <w:t>37.0</w:t>
            </w:r>
          </w:p>
        </w:tc>
        <w:tc>
          <w:tcPr>
            <w:vAlign w:val="center"/>
          </w:tcPr>
          <w:p>
            <w:r>
              <w:t>40.3</w:t>
            </w:r>
          </w:p>
        </w:tc>
        <w:tc>
          <w:tcPr>
            <w:vAlign w:val="center"/>
          </w:tcPr>
          <w:p>
            <w:r>
              <w:t>43.7</w:t>
            </w:r>
          </w:p>
        </w:tc>
        <w:tc>
          <w:tcPr>
            <w:vAlign w:val="center"/>
          </w:tcPr>
          <w:p>
            <w:r>
              <w:t>47.0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159.9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石灰水泥砂浆（混合砂浆） 2mm＋AAC 300mm＋玻化微珠保温浆料 10mm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bl>
    <w:p>
      <w:pPr>
        <w:jc w:val="center"/>
      </w:pPr>
      <w:bookmarkStart w:id="51" w:name="外墙隔声量"/>
      <w:bookmarkEnd w:id="51"/>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kern w:val="2"/>
          <w:szCs w:val="21"/>
          <w:lang w:val="en-US"/>
        </w:rPr>
      </w:pPr>
      <w:r>
        <w:rPr>
          <w:rFonts w:hint="eastAsia"/>
          <w:kern w:val="2"/>
          <w:szCs w:val="21"/>
          <w:lang w:val="en-US"/>
        </w:rPr>
        <w:t>表</w:t>
      </w:r>
      <w:r>
        <w:rPr>
          <w:kern w:val="2"/>
          <w:szCs w:val="21"/>
          <w:lang w:val="en-US"/>
        </w:rPr>
        <w:t xml:space="preserve">5.3 </w:t>
      </w:r>
      <w:r>
        <w:rPr>
          <w:rFonts w:hint="eastAsia"/>
          <w:kern w:val="2"/>
          <w:szCs w:val="21"/>
          <w:lang w:val="en-US"/>
        </w:rPr>
        <w:t>门窗空气声隔声量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22.0</w:t>
            </w:r>
          </w:p>
        </w:tc>
        <w:tc>
          <w:tcPr>
            <w:vAlign w:val="center"/>
          </w:tcPr>
          <w:p>
            <w:r>
              <w:t>27.0</w:t>
            </w:r>
          </w:p>
        </w:tc>
        <w:tc>
          <w:tcPr>
            <w:vAlign w:val="center"/>
          </w:tcPr>
          <w:p>
            <w:r>
              <w:t>33.0</w:t>
            </w:r>
          </w:p>
        </w:tc>
        <w:tc>
          <w:tcPr>
            <w:vAlign w:val="center"/>
          </w:tcPr>
          <w:p>
            <w:r>
              <w:t>44.0</w:t>
            </w:r>
          </w:p>
        </w:tc>
        <w:tc>
          <w:tcPr>
            <w:vAlign w:val="center"/>
          </w:tcPr>
          <w:p>
            <w:r>
              <w:t>43.0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64系列断热铝合金窗-中空玻璃5LOW-E(单银）+12Ar+5+12Ar+5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（5+12Ar+4+12Ar+6）温屏Low-E中空玻璃</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外门</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34.0</w:t>
            </w:r>
          </w:p>
        </w:tc>
        <w:tc>
          <w:tcPr>
            <w:vAlign w:val="center"/>
          </w:tcPr>
          <w:p>
            <w:r>
              <w:t>38.0</w:t>
            </w:r>
          </w:p>
        </w:tc>
        <w:tc>
          <w:tcPr>
            <w:vAlign w:val="center"/>
          </w:tcPr>
          <w:p>
            <w:r>
              <w:t>42.0</w:t>
            </w:r>
          </w:p>
        </w:tc>
        <w:tc>
          <w:tcPr>
            <w:vAlign w:val="center"/>
          </w:tcPr>
          <w:p>
            <w:r>
              <w:t>50.0</w:t>
            </w:r>
          </w:p>
        </w:tc>
        <w:tc>
          <w:tcPr>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保温门（多功能门）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100厚钢质门，填充玻璃棉</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《建筑吸声材料与隔声材料》钟祥璋编著</w:t>
            </w:r>
          </w:p>
        </w:tc>
      </w:tr>
    </w:tbl>
    <w:p>
      <w:pPr>
        <w:jc w:val="center"/>
        <w:rPr>
          <w:lang w:val="en-US"/>
        </w:rPr>
      </w:pPr>
      <w:bookmarkStart w:id="52" w:name="门窗隔声量"/>
      <w:bookmarkEnd w:id="52"/>
    </w:p>
    <w:p>
      <w:pPr>
        <w:pStyle w:val="4"/>
      </w:pPr>
      <w:bookmarkStart w:id="53" w:name="_Toc16537"/>
      <w:r>
        <w:rPr>
          <w:rFonts w:hint="eastAsia"/>
        </w:rPr>
        <w:t>房间</w:t>
      </w:r>
      <w:r>
        <w:t>总吸声量计算</w:t>
      </w:r>
      <w:bookmarkEnd w:id="53"/>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8.25pt;width:72.7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8.75pt;width:16.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8.7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8.75pt;width:12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kern w:val="2"/>
          <w:szCs w:val="21"/>
          <w:lang w:val="en-US"/>
        </w:rPr>
      </w:pPr>
      <w:r>
        <w:rPr>
          <w:rFonts w:hint="eastAsia"/>
          <w:kern w:val="2"/>
          <w:szCs w:val="21"/>
          <w:lang w:val="en-US"/>
        </w:rPr>
        <w:t>表</w:t>
      </w:r>
      <w:r>
        <w:rPr>
          <w:kern w:val="2"/>
          <w:szCs w:val="21"/>
          <w:lang w:val="en-US"/>
        </w:rPr>
        <w:t xml:space="preserve">5.4 </w:t>
      </w:r>
      <w:r>
        <w:rPr>
          <w:rFonts w:hint="eastAsia"/>
          <w:kern w:val="2"/>
          <w:szCs w:val="21"/>
          <w:lang w:val="en-US"/>
        </w:rPr>
        <w:t>房间构件吸声性能参数</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71"/>
        <w:gridCol w:w="679"/>
        <w:gridCol w:w="735"/>
        <w:gridCol w:w="735"/>
        <w:gridCol w:w="735"/>
        <w:gridCol w:w="735"/>
        <w:gridCol w:w="735"/>
        <w:gridCol w:w="35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构件</w:t>
            </w:r>
          </w:p>
        </w:tc>
        <w:tc>
          <w:tcPr>
            <w:vMerge w:val="restart"/>
            <w:shd w:val="clear" w:color="auto" w:fill="E6E6E6"/>
            <w:vAlign w:val="center"/>
          </w:tcPr>
          <w:p>
            <w:pPr>
              <w:jc w:val="center"/>
              <w:rPr>
                <w:rFonts w:hint="eastAsia" w:eastAsia="微软雅黑"/>
                <w:lang w:eastAsia="zh-CN"/>
              </w:rPr>
            </w:pPr>
            <w:r>
              <w:t>面积</w:t>
            </w:r>
          </w:p>
          <w:p>
            <w:pPr>
              <w:jc w:val="center"/>
            </w:pPr>
            <w:r>
              <w:t>(㎡)</w:t>
            </w:r>
          </w:p>
        </w:tc>
        <w:tc>
          <w:tcPr>
            <w:gridSpan w:val="5"/>
            <w:shd w:val="clear" w:color="auto" w:fill="E6E6E6"/>
            <w:vAlign w:val="center"/>
          </w:tcPr>
          <w:p>
            <w:pPr>
              <w:jc w:val="center"/>
            </w:pPr>
            <w:r>
              <w:t>各中心频率下的吸声系数</w:t>
            </w:r>
          </w:p>
        </w:tc>
        <w:tc>
          <w:tcPr>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28.7</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53.0</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w:t>
            </w:r>
          </w:p>
        </w:tc>
        <w:tc>
          <w:tcPr>
            <w:shd w:val="clear" w:color="auto" w:fill="E6E6E6"/>
            <w:vAlign w:val="center"/>
          </w:tcPr>
          <w:p>
            <w:r>
              <w:t>3.6</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w:t>
            </w:r>
          </w:p>
        </w:tc>
        <w:tc>
          <w:tcPr>
            <w:shd w:val="clear" w:color="auto" w:fill="E6E6E6"/>
            <w:vAlign w:val="center"/>
          </w:tcPr>
          <w:p>
            <w:r>
              <w:t>4.1</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屋顶</w:t>
            </w:r>
          </w:p>
        </w:tc>
        <w:tc>
          <w:tcPr>
            <w:shd w:val="clear" w:color="auto" w:fill="E6E6E6"/>
            <w:vAlign w:val="center"/>
          </w:tcPr>
          <w:p>
            <w:r>
              <w:t>27.3</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总吸声量(㎡)</w:t>
            </w:r>
          </w:p>
        </w:tc>
        <w:tc>
          <w:tcPr>
            <w:vAlign w:val="center"/>
          </w:tcPr>
          <w:p>
            <w:r>
              <w:t>12.8</w:t>
            </w:r>
          </w:p>
        </w:tc>
        <w:tc>
          <w:tcPr>
            <w:vAlign w:val="center"/>
          </w:tcPr>
          <w:p>
            <w:r>
              <w:t>7.0</w:t>
            </w:r>
          </w:p>
        </w:tc>
        <w:tc>
          <w:tcPr>
            <w:vAlign w:val="center"/>
          </w:tcPr>
          <w:p>
            <w:r>
              <w:t>7.6</w:t>
            </w:r>
          </w:p>
        </w:tc>
        <w:tc>
          <w:tcPr>
            <w:vAlign w:val="center"/>
          </w:tcPr>
          <w:p>
            <w:r>
              <w:t>8.5</w:t>
            </w:r>
          </w:p>
        </w:tc>
        <w:tc>
          <w:tcPr>
            <w:vAlign w:val="center"/>
          </w:tcPr>
          <w:p>
            <w:r>
              <w:t>10.5</w:t>
            </w:r>
          </w:p>
        </w:tc>
        <w:tc>
          <w:tcPr>
            <w:vAlign w:val="center"/>
          </w:tcPr>
          <w:p/>
        </w:tc>
      </w:tr>
    </w:tbl>
    <w:p>
      <w:pPr>
        <w:jc w:val="center"/>
        <w:rPr>
          <w:lang w:val="en-US"/>
        </w:rPr>
      </w:pPr>
      <w:bookmarkStart w:id="54" w:name="围护结构吸声量"/>
      <w:bookmarkEnd w:id="54"/>
    </w:p>
    <w:p>
      <w:pPr>
        <w:pStyle w:val="4"/>
      </w:pPr>
      <w:bookmarkStart w:id="55" w:name="_Toc29631"/>
      <w:r>
        <w:rPr>
          <w:rFonts w:hint="eastAsia"/>
        </w:rPr>
        <w:t>组合墙</w:t>
      </w:r>
      <w:r>
        <w:t>空气声隔声量计算</w:t>
      </w:r>
      <w:bookmarkEnd w:id="55"/>
    </w:p>
    <w:p>
      <w:pPr>
        <w:pStyle w:val="3"/>
        <w:ind w:firstLine="420" w:firstLineChars="200"/>
      </w:pPr>
      <w:r>
        <w:rPr>
          <w:rFonts w:hint="eastAsia"/>
        </w:rPr>
        <w:t>室外噪声对室内环境的影响与建筑外墙组合墙的隔声性能息息相关。组合墙指含门窗的墙体，这种墙体隔声量还是按照质量定律控制，它不仅仅与每个构件的隔声性能有关，还要充分考虑房间吸声、孔洞缝隙等影响。</w:t>
      </w:r>
    </w:p>
    <w:p>
      <w:pPr>
        <w:pStyle w:val="3"/>
        <w:ind w:firstLine="420" w:firstLineChars="200"/>
      </w:pPr>
      <w:r>
        <w:rPr>
          <w:rFonts w:hint="eastAsia"/>
        </w:rPr>
        <w:t>本报告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56" w:name="_Toc11803"/>
      <w:r>
        <w:rPr>
          <w:rFonts w:hint="eastAsia"/>
        </w:rPr>
        <w:t>组合墙</w:t>
      </w:r>
      <w:r>
        <w:t>有效隔声量</w:t>
      </w:r>
      <w:bookmarkEnd w:id="56"/>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spacing w:line="180" w:lineRule="auto"/>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8.75pt;width:16.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420" w:firstLineChars="200"/>
        <w:rPr>
          <w:lang w:val="en-US"/>
        </w:rPr>
      </w:pPr>
      <w:r>
        <w:rPr>
          <w:position w:val="-14"/>
          <w:lang w:val="en-US"/>
        </w:rPr>
        <w:object>
          <v:shape id="_x0000_i1030" o:spt="75" type="#_x0000_t75" style="height:18.75pt;width:16.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420" w:firstLineChars="200"/>
        <w:rPr>
          <w:lang w:val="en-US"/>
        </w:rPr>
      </w:pPr>
      <w:r>
        <w:rPr>
          <w:position w:val="-12"/>
          <w:lang w:val="en-US"/>
        </w:rPr>
        <w:object>
          <v:shape id="_x0000_i1031" o:spt="75" type="#_x0000_t75" style="height:16.5pt;width:16.5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420" w:firstLineChars="200"/>
        <w:rPr>
          <w:lang w:val="en-US"/>
        </w:rPr>
      </w:pPr>
      <w:r>
        <w:rPr>
          <w:position w:val="-14"/>
          <w:lang w:val="en-US"/>
        </w:rPr>
        <w:object>
          <v:shape id="_x0000_i1032" o:spt="75" type="#_x0000_t75" style="height:18.75pt;width:16.5pt;" o:ole="t" filled="f" o:preferrelative="t" stroked="f" coordsize="21600,21600">
            <v:path/>
            <v:fill on="f" focussize="0,0"/>
            <v:stroke on="f" joinstyle="miter"/>
            <v:imagedata r:id="rId13" o:title=""/>
            <o:lock v:ext="edit" aspectratio="t"/>
            <w10:wrap type="none"/>
            <w10:anchorlock/>
          </v:shape>
          <o:OLEObject Type="Embed" ProgID="Equation.DSMT4" ShapeID="_x0000_i1032" DrawAspect="Content" ObjectID="_1468075732" r:id="rId28">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57" w:name="_Toc527"/>
      <w:r>
        <w:rPr>
          <w:rFonts w:hint="eastAsia"/>
        </w:rPr>
        <w:t>组合墙</w:t>
      </w:r>
      <w:r>
        <w:t>隔声单值评价量、频谱修正量</w:t>
      </w:r>
      <w:bookmarkEnd w:id="57"/>
    </w:p>
    <w:p>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0"/>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6.5pt;width:16.5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6.5pt;width:11.25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6.5pt;width:11.25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7"/>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lang w:val="en-US"/>
        </w:rPr>
      </w:pPr>
      <w:r>
        <w:rPr>
          <w:rFonts w:hint="eastAsia"/>
          <w:lang w:val="en-US"/>
        </w:rPr>
        <w:t>表</w:t>
      </w:r>
      <w:r>
        <w:rPr>
          <w:lang w:val="en-US"/>
        </w:rPr>
        <w:t xml:space="preserve">5.5 </w:t>
      </w:r>
      <w:r>
        <w:rPr>
          <w:rFonts w:hint="eastAsia"/>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Cs/>
        </w:rPr>
        <w:pict>
          <v:shape id="_x0000_s1213" o:spid="_x0000_s1213"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39" o:title=""/>
            <o:lock v:ext="edit" aspectratio="t"/>
          </v:shape>
          <o:OLEObject Type="Embed" ProgID="Equation.DSMT4" ShapeID="_x0000_s1213" DrawAspect="Content" ObjectID="_1468075736" r:id="rId38">
            <o:LockedField>false</o:LockedField>
          </o:OLEObject>
        </w:pict>
      </w:r>
      <w:r>
        <w:rPr>
          <w:rFonts w:hint="eastAsia"/>
          <w:bCs/>
        </w:rPr>
        <w:t>频谱修正量是因隔声频谱不同以及声源空间的噪声频谱不同，所需加到空气声隔声单值评价量</w:t>
      </w:r>
      <w:r>
        <w:rPr>
          <w:rFonts w:hint="eastAsia"/>
        </w:rPr>
        <w:t>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计算交通噪声Ctr的频谱2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58" w:name="_Toc16839"/>
      <w:r>
        <w:rPr>
          <w:rFonts w:hint="eastAsia"/>
        </w:rPr>
        <w:t>缝隙对组合墙隔声量的影响</w:t>
      </w:r>
      <w:bookmarkEnd w:id="58"/>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0"/>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8.75pt;width:16.5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7" r:id="rId41">
            <o:LockedField>false</o:LockedField>
          </o:OLEObject>
        </w:object>
      </w:r>
      <w:r>
        <w:rPr>
          <w:rFonts w:hint="eastAsia"/>
        </w:rPr>
        <w:t>、</w:t>
      </w:r>
      <w:r>
        <w:rPr>
          <w:position w:val="-12"/>
        </w:rPr>
        <w:object>
          <v:shape id="_x0000_i1037" o:spt="75" type="#_x0000_t75" style="height:18.75pt;width:16.5pt;" o:ole="t" filled="f" o:preferrelative="t" stroked="f" coordsize="21600,21600">
            <v:path/>
            <v:fill on="f" focussize="0,0"/>
            <v:stroke on="f" joinstyle="miter"/>
            <v:imagedata r:id="rId44" o:title=""/>
            <o:lock v:ext="edit" aspectratio="t"/>
            <w10:wrap type="none"/>
            <w10:anchorlock/>
          </v:shape>
          <o:OLEObject Type="Embed" ProgID="Equation.DSMT4" ShapeID="_x0000_i1037" DrawAspect="Content" ObjectID="_1468075738" r:id="rId43">
            <o:LockedField>false</o:LockedField>
          </o:OLEObject>
        </w:object>
      </w:r>
      <w:r>
        <w:rPr>
          <w:rFonts w:hint="eastAsia"/>
        </w:rPr>
        <w:t>——分别为缝隙和组合墙的面积。</w:t>
      </w:r>
    </w:p>
    <w:p>
      <w:pPr>
        <w:pStyle w:val="3"/>
        <w:ind w:firstLine="360" w:firstLineChars="200"/>
        <w:rPr>
          <w:sz w:val="18"/>
          <w:szCs w:val="18"/>
        </w:rPr>
      </w:pPr>
      <w:r>
        <w:rPr>
          <w:rFonts w:hint="eastAsia" w:ascii="黑体" w:hAnsi="黑体" w:eastAsia="黑体"/>
          <w:sz w:val="18"/>
          <w:szCs w:val="18"/>
        </w:rPr>
        <w:t>注：一般的门</w:t>
      </w:r>
      <w:r>
        <w:rPr>
          <w:rFonts w:ascii="黑体" w:hAnsi="黑体" w:eastAsia="黑体"/>
          <w:sz w:val="18"/>
          <w:szCs w:val="18"/>
        </w:rPr>
        <w:t>/</w:t>
      </w:r>
      <w:r>
        <w:rPr>
          <w:rFonts w:hint="eastAsia" w:ascii="黑体" w:hAnsi="黑体" w:eastAsia="黑体"/>
          <w:sz w:val="18"/>
          <w:szCs w:val="18"/>
        </w:rPr>
        <w:t>窗与墙之间的缝隙为</w:t>
      </w:r>
      <w:r>
        <w:rPr>
          <w:rFonts w:ascii="黑体" w:hAnsi="黑体" w:eastAsia="黑体"/>
          <w:sz w:val="18"/>
          <w:szCs w:val="18"/>
        </w:rPr>
        <w:t>0.5cm</w:t>
      </w:r>
      <w:r>
        <w:rPr>
          <w:rFonts w:hint="eastAsia" w:ascii="黑体" w:hAnsi="黑体" w:eastAsia="黑体"/>
          <w:sz w:val="18"/>
          <w:szCs w:val="18"/>
        </w:rPr>
        <w:t>（装配式）和</w:t>
      </w:r>
      <w:r>
        <w:rPr>
          <w:rFonts w:ascii="黑体" w:hAnsi="黑体" w:eastAsia="黑体"/>
          <w:sz w:val="18"/>
          <w:szCs w:val="18"/>
        </w:rPr>
        <w:t>1cm</w:t>
      </w:r>
      <w:r>
        <w:rPr>
          <w:rFonts w:hint="eastAsia" w:ascii="黑体" w:hAnsi="黑体" w:eastAsia="黑体"/>
          <w:sz w:val="18"/>
          <w:szCs w:val="18"/>
        </w:rPr>
        <w:t>（非装配式）。</w:t>
      </w:r>
    </w:p>
    <w:p>
      <w:pPr>
        <w:pStyle w:val="5"/>
      </w:pPr>
      <w:bookmarkStart w:id="59" w:name="_Toc16852"/>
      <w:r>
        <w:rPr>
          <w:rFonts w:hint="eastAsia"/>
        </w:rPr>
        <w:t>组合墙隔声量计算过程</w:t>
      </w:r>
      <w:bookmarkEnd w:id="59"/>
    </w:p>
    <w:p>
      <w:pPr>
        <w:pStyle w:val="3"/>
        <w:ind w:firstLine="315" w:firstLineChars="150"/>
        <w:jc w:val="left"/>
      </w:pPr>
      <w:r>
        <w:t>本项目最不利房间的情况如下图所示：</w:t>
      </w:r>
    </w:p>
    <w:p>
      <w:pPr>
        <w:jc w:val="center"/>
      </w:pPr>
      <w:bookmarkStart w:id="60" w:name="最不利房间平面图"/>
      <w:bookmarkEnd w:id="60"/>
      <w:r>
        <w:drawing>
          <wp:inline distT="0" distB="0" distL="0" distR="0">
            <wp:extent cx="5667375" cy="36385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45"/>
                    <a:stretch>
                      <a:fillRect/>
                    </a:stretch>
                  </pic:blipFill>
                  <pic:spPr>
                    <a:xfrm>
                      <a:off x="0" y="0"/>
                      <a:ext cx="5667375" cy="363855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6房间</w:t>
      </w:r>
      <w:r>
        <w:rPr>
          <w:kern w:val="2"/>
          <w:szCs w:val="21"/>
          <w:lang w:val="en-US"/>
        </w:rPr>
        <w:t>围护结构示意图</w:t>
      </w:r>
    </w:p>
    <w:p>
      <w:pPr>
        <w:pStyle w:val="3"/>
        <w:ind w:firstLine="315" w:firstLineChars="15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33.7</w:t>
            </w:r>
          </w:p>
        </w:tc>
        <w:tc>
          <w:tcPr>
            <w:vAlign w:val="center"/>
          </w:tcPr>
          <w:p>
            <w:r>
              <w:t>37.0</w:t>
            </w:r>
          </w:p>
        </w:tc>
        <w:tc>
          <w:tcPr>
            <w:vAlign w:val="center"/>
          </w:tcPr>
          <w:p>
            <w:r>
              <w:t>40.3</w:t>
            </w:r>
          </w:p>
        </w:tc>
        <w:tc>
          <w:tcPr>
            <w:vAlign w:val="center"/>
          </w:tcPr>
          <w:p>
            <w:r>
              <w:t>43.7</w:t>
            </w:r>
          </w:p>
        </w:tc>
        <w:tc>
          <w:tcPr>
            <w:vAlign w:val="center"/>
          </w:tcPr>
          <w:p>
            <w:r>
              <w:t>47.0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33.7</w:t>
            </w:r>
          </w:p>
        </w:tc>
        <w:tc>
          <w:tcPr>
            <w:vAlign w:val="center"/>
          </w:tcPr>
          <w:p>
            <w:r>
              <w:t>37.0</w:t>
            </w:r>
          </w:p>
        </w:tc>
        <w:tc>
          <w:tcPr>
            <w:vAlign w:val="center"/>
          </w:tcPr>
          <w:p>
            <w:r>
              <w:t>40.3</w:t>
            </w:r>
          </w:p>
        </w:tc>
        <w:tc>
          <w:tcPr>
            <w:vAlign w:val="center"/>
          </w:tcPr>
          <w:p>
            <w:r>
              <w:t>43.7</w:t>
            </w:r>
          </w:p>
        </w:tc>
        <w:tc>
          <w:tcPr>
            <w:vAlign w:val="center"/>
          </w:tcPr>
          <w:p>
            <w:r>
              <w:t>47.0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30.2</w:t>
            </w:r>
          </w:p>
        </w:tc>
        <w:tc>
          <w:tcPr>
            <w:vAlign w:val="center"/>
          </w:tcPr>
          <w:p>
            <w:r>
              <w:t>30.9</w:t>
            </w:r>
          </w:p>
        </w:tc>
        <w:tc>
          <w:tcPr>
            <w:vAlign w:val="center"/>
          </w:tcPr>
          <w:p>
            <w:r>
              <w:t>34.6</w:t>
            </w:r>
          </w:p>
        </w:tc>
        <w:tc>
          <w:tcPr>
            <w:vAlign w:val="center"/>
          </w:tcPr>
          <w:p>
            <w:r>
              <w:t>38.4</w:t>
            </w:r>
          </w:p>
        </w:tc>
        <w:tc>
          <w:tcPr>
            <w:vAlign w:val="center"/>
          </w:tcPr>
          <w:p>
            <w:r>
              <w:t>42.6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28.7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33.7</w:t>
            </w:r>
          </w:p>
        </w:tc>
        <w:tc>
          <w:tcPr>
            <w:vAlign w:val="center"/>
          </w:tcPr>
          <w:p>
            <w:r>
              <w:t>37.0</w:t>
            </w:r>
          </w:p>
        </w:tc>
        <w:tc>
          <w:tcPr>
            <w:vAlign w:val="center"/>
          </w:tcPr>
          <w:p>
            <w:r>
              <w:t>40.3</w:t>
            </w:r>
          </w:p>
        </w:tc>
        <w:tc>
          <w:tcPr>
            <w:vAlign w:val="center"/>
          </w:tcPr>
          <w:p>
            <w:r>
              <w:t>43.7</w:t>
            </w:r>
          </w:p>
        </w:tc>
        <w:tc>
          <w:tcPr>
            <w:vAlign w:val="center"/>
          </w:tcPr>
          <w:p>
            <w:r>
              <w:t>47.0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33.7</w:t>
            </w:r>
          </w:p>
        </w:tc>
        <w:tc>
          <w:tcPr>
            <w:vAlign w:val="center"/>
          </w:tcPr>
          <w:p>
            <w:r>
              <w:t>37.0</w:t>
            </w:r>
          </w:p>
        </w:tc>
        <w:tc>
          <w:tcPr>
            <w:vAlign w:val="center"/>
          </w:tcPr>
          <w:p>
            <w:r>
              <w:t>40.3</w:t>
            </w:r>
          </w:p>
        </w:tc>
        <w:tc>
          <w:tcPr>
            <w:vAlign w:val="center"/>
          </w:tcPr>
          <w:p>
            <w:r>
              <w:t>43.7</w:t>
            </w:r>
          </w:p>
        </w:tc>
        <w:tc>
          <w:tcPr>
            <w:vAlign w:val="center"/>
          </w:tcPr>
          <w:p>
            <w:r>
              <w:t>47.0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32.8</w:t>
            </w:r>
          </w:p>
        </w:tc>
        <w:tc>
          <w:tcPr>
            <w:vAlign w:val="center"/>
          </w:tcPr>
          <w:p>
            <w:r>
              <w:t>33.4</w:t>
            </w:r>
          </w:p>
        </w:tc>
        <w:tc>
          <w:tcPr>
            <w:vAlign w:val="center"/>
          </w:tcPr>
          <w:p>
            <w:r>
              <w:t>37.1</w:t>
            </w:r>
          </w:p>
        </w:tc>
        <w:tc>
          <w:tcPr>
            <w:vAlign w:val="center"/>
          </w:tcPr>
          <w:p>
            <w:r>
              <w:t>40.9</w:t>
            </w:r>
          </w:p>
        </w:tc>
        <w:tc>
          <w:tcPr>
            <w:vAlign w:val="center"/>
          </w:tcPr>
          <w:p>
            <w:r>
              <w:t>45.1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16.0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外墙3+外窗+外门+外窗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33.7</w:t>
            </w:r>
          </w:p>
        </w:tc>
        <w:tc>
          <w:tcPr>
            <w:vAlign w:val="center"/>
          </w:tcPr>
          <w:p>
            <w:r>
              <w:t>37.0</w:t>
            </w:r>
          </w:p>
        </w:tc>
        <w:tc>
          <w:tcPr>
            <w:vAlign w:val="center"/>
          </w:tcPr>
          <w:p>
            <w:r>
              <w:t>40.3</w:t>
            </w:r>
          </w:p>
        </w:tc>
        <w:tc>
          <w:tcPr>
            <w:vAlign w:val="center"/>
          </w:tcPr>
          <w:p>
            <w:r>
              <w:t>43.7</w:t>
            </w:r>
          </w:p>
        </w:tc>
        <w:tc>
          <w:tcPr>
            <w:vAlign w:val="center"/>
          </w:tcPr>
          <w:p>
            <w:r>
              <w:t>47.0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外窗隔声量(dB)</w:t>
            </w:r>
          </w:p>
        </w:tc>
        <w:tc>
          <w:tcPr>
            <w:vAlign w:val="center"/>
          </w:tcPr>
          <w:p>
            <w:r>
              <w:t>22.0</w:t>
            </w:r>
          </w:p>
        </w:tc>
        <w:tc>
          <w:tcPr>
            <w:vAlign w:val="center"/>
          </w:tcPr>
          <w:p>
            <w:r>
              <w:t>27.0</w:t>
            </w:r>
          </w:p>
        </w:tc>
        <w:tc>
          <w:tcPr>
            <w:vAlign w:val="center"/>
          </w:tcPr>
          <w:p>
            <w:r>
              <w:t>33.0</w:t>
            </w:r>
          </w:p>
        </w:tc>
        <w:tc>
          <w:tcPr>
            <w:vAlign w:val="center"/>
          </w:tcPr>
          <w:p>
            <w:r>
              <w:t>44.0</w:t>
            </w:r>
          </w:p>
        </w:tc>
        <w:tc>
          <w:tcPr>
            <w:vAlign w:val="center"/>
          </w:tcPr>
          <w:p>
            <w:r>
              <w:t>43.0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外门隔声量(dB)</w:t>
            </w:r>
          </w:p>
        </w:tc>
        <w:tc>
          <w:tcPr>
            <w:vAlign w:val="center"/>
          </w:tcPr>
          <w:p>
            <w:r>
              <w:t>34.0</w:t>
            </w:r>
          </w:p>
        </w:tc>
        <w:tc>
          <w:tcPr>
            <w:vAlign w:val="center"/>
          </w:tcPr>
          <w:p>
            <w:r>
              <w:t>38.0</w:t>
            </w:r>
          </w:p>
        </w:tc>
        <w:tc>
          <w:tcPr>
            <w:vAlign w:val="center"/>
          </w:tcPr>
          <w:p>
            <w:r>
              <w:t>42.0</w:t>
            </w:r>
          </w:p>
        </w:tc>
        <w:tc>
          <w:tcPr>
            <w:vAlign w:val="center"/>
          </w:tcPr>
          <w:p>
            <w:r>
              <w:t>50.0</w:t>
            </w:r>
          </w:p>
        </w:tc>
        <w:tc>
          <w:tcPr>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外窗隔声量(dB)</w:t>
            </w:r>
          </w:p>
        </w:tc>
        <w:tc>
          <w:tcPr>
            <w:vAlign w:val="center"/>
          </w:tcPr>
          <w:p>
            <w:r>
              <w:t>22.0</w:t>
            </w:r>
          </w:p>
        </w:tc>
        <w:tc>
          <w:tcPr>
            <w:vAlign w:val="center"/>
          </w:tcPr>
          <w:p>
            <w:r>
              <w:t>27.0</w:t>
            </w:r>
          </w:p>
        </w:tc>
        <w:tc>
          <w:tcPr>
            <w:vAlign w:val="center"/>
          </w:tcPr>
          <w:p>
            <w:r>
              <w:t>33.0</w:t>
            </w:r>
          </w:p>
        </w:tc>
        <w:tc>
          <w:tcPr>
            <w:vAlign w:val="center"/>
          </w:tcPr>
          <w:p>
            <w:r>
              <w:t>44.0</w:t>
            </w:r>
          </w:p>
        </w:tc>
        <w:tc>
          <w:tcPr>
            <w:vAlign w:val="center"/>
          </w:tcPr>
          <w:p>
            <w:r>
              <w:t>43.0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27.5</w:t>
            </w:r>
          </w:p>
        </w:tc>
        <w:tc>
          <w:tcPr>
            <w:vAlign w:val="center"/>
          </w:tcPr>
          <w:p>
            <w:r>
              <w:t>32.2</w:t>
            </w:r>
          </w:p>
        </w:tc>
        <w:tc>
          <w:tcPr>
            <w:vAlign w:val="center"/>
          </w:tcPr>
          <w:p>
            <w:r>
              <w:t>37.5</w:t>
            </w:r>
          </w:p>
        </w:tc>
        <w:tc>
          <w:tcPr>
            <w:vAlign w:val="center"/>
          </w:tcPr>
          <w:p>
            <w:r>
              <w:t>44.7</w:t>
            </w:r>
          </w:p>
        </w:tc>
        <w:tc>
          <w:tcPr>
            <w:vAlign w:val="center"/>
          </w:tcPr>
          <w:p>
            <w:r>
              <w:t>46.2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26.6</w:t>
            </w:r>
          </w:p>
        </w:tc>
        <w:tc>
          <w:tcPr>
            <w:vAlign w:val="center"/>
          </w:tcPr>
          <w:p>
            <w:r>
              <w:t>28.6</w:t>
            </w:r>
          </w:p>
        </w:tc>
        <w:tc>
          <w:tcPr>
            <w:vAlign w:val="center"/>
          </w:tcPr>
          <w:p>
            <w:r>
              <w:t>34.3</w:t>
            </w:r>
          </w:p>
        </w:tc>
        <w:tc>
          <w:tcPr>
            <w:vAlign w:val="center"/>
          </w:tcPr>
          <w:p>
            <w:r>
              <w:t>41.9</w:t>
            </w:r>
          </w:p>
        </w:tc>
        <w:tc>
          <w:tcPr>
            <w:vAlign w:val="center"/>
          </w:tcPr>
          <w:p>
            <w:r>
              <w:t>44.4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16.0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0.219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19</w:t>
            </w:r>
          </w:p>
        </w:tc>
      </w:tr>
    </w:tbl>
    <w:p>
      <w:pPr>
        <w:jc w:val="center"/>
        <w:rPr>
          <w:lang w:val="en-US"/>
        </w:rPr>
      </w:pPr>
      <w:bookmarkStart w:id="61" w:name="组合墙隔声量"/>
      <w:bookmarkEnd w:id="61"/>
    </w:p>
    <w:p>
      <w:pPr>
        <w:pStyle w:val="4"/>
      </w:pPr>
      <w:bookmarkStart w:id="62" w:name="_Toc28222"/>
      <w:r>
        <w:rPr>
          <w:rFonts w:hint="eastAsia"/>
        </w:rPr>
        <w:t>室外环境噪声通过组合墙传到室内的噪声级计算</w:t>
      </w:r>
      <w:bookmarkEnd w:id="62"/>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308735" cy="24003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6"/>
                    <a:stretch>
                      <a:fillRect/>
                    </a:stretch>
                  </pic:blipFill>
                  <pic:spPr>
                    <a:xfrm>
                      <a:off x="0" y="0"/>
                      <a:ext cx="1441930" cy="264458"/>
                    </a:xfrm>
                    <a:prstGeom prst="rect">
                      <a:avLst/>
                    </a:prstGeom>
                  </pic:spPr>
                </pic:pic>
              </a:graphicData>
            </a:graphic>
          </wp:inline>
        </w:drawing>
      </w:r>
    </w:p>
    <w:p>
      <w:pPr>
        <w:pStyle w:val="3"/>
        <w:jc w:val="center"/>
      </w:pPr>
      <w:r>
        <w:rPr>
          <w:position w:val="-28"/>
        </w:rPr>
        <w:object>
          <v:shape id="_x0000_i1038" o:spt="75" type="#_x0000_t75" style="height:38.25pt;width:117.75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9" r:id="rId47">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6.5pt;width:33.75pt;" o:ole="t" filled="f" o:preferrelative="t" stroked="f" coordsize="21600,21600">
            <v:path/>
            <v:fill on="f" focussize="0,0"/>
            <v:stroke on="f" joinstyle="miter"/>
            <v:imagedata r:id="rId50" o:title=""/>
            <o:lock v:ext="edit" aspectratio="t"/>
            <w10:wrap type="none"/>
            <w10:anchorlock/>
          </v:shape>
          <o:OLEObject Type="Embed" ProgID="Equation.DSMT4" ShapeID="_x0000_i1039" DrawAspect="Content" ObjectID="_1468075740" r:id="rId49">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6.5pt;width:22.5pt;" o:ole="t" filled="f" o:preferrelative="t" stroked="f" coordsize="21600,21600">
            <v:path/>
            <v:fill on="f" focussize="0,0"/>
            <v:stroke on="f" joinstyle="miter"/>
            <v:imagedata r:id="rId52" o:title=""/>
            <o:lock v:ext="edit" aspectratio="t"/>
            <w10:wrap type="none"/>
            <w10:anchorlock/>
          </v:shape>
          <o:OLEObject Type="Embed" ProgID="Equation.DSMT4" ShapeID="_x0000_i1040" DrawAspect="Content" ObjectID="_1468075741" r:id="rId5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6.5pt;width:23.25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2" r:id="rId5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6.5pt;width:26.25pt;" o:ole="t" filled="f" o:preferrelative="t" stroked="f" coordsize="21600,21600">
            <v:path/>
            <v:fill on="f" focussize="0,0"/>
            <v:stroke on="f" joinstyle="miter"/>
            <v:imagedata r:id="rId56" o:title=""/>
            <o:lock v:ext="edit" aspectratio="t"/>
            <w10:wrap type="none"/>
            <w10:anchorlock/>
          </v:shape>
          <o:OLEObject Type="Embed" ProgID="Equation.DSMT4" ShapeID="_x0000_i1042" DrawAspect="Content" ObjectID="_1468075743" r:id="rId55">
            <o:LockedField>false</o:LockedField>
          </o:OLEObject>
        </w:object>
      </w:r>
      <w:r>
        <w:rPr>
          <w:rFonts w:hint="eastAsia"/>
        </w:rPr>
        <w:t>— 室外环境噪声过多面组合墙传到室内的总噪声级，dB（A）。</w:t>
      </w:r>
    </w:p>
    <w:p>
      <w:pPr>
        <w:jc w:val="center"/>
      </w:pPr>
      <w:r>
        <w:rPr>
          <w:rFonts w:hint="eastAsia"/>
        </w:rPr>
        <w:t>表</w:t>
      </w:r>
      <w:r>
        <w:t xml:space="preserve">5.8 </w:t>
      </w:r>
      <w:r>
        <w:rPr>
          <w:rFonts w:hint="eastAsia"/>
        </w:rPr>
        <w:t>室外环境噪声通过单面组合墙传到室内的噪声级</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外围护结构</w:t>
            </w:r>
          </w:p>
        </w:tc>
        <w:tc>
          <w:tcPr>
            <w:gridSpan w:val="2"/>
            <w:shd w:val="clear" w:color="auto" w:fill="E6E6E6"/>
            <w:vAlign w:val="center"/>
          </w:tcPr>
          <w:p>
            <w:pPr>
              <w:jc w:val="center"/>
            </w:pPr>
            <w:r>
              <w:t>室外噪声级(dB,A)</w:t>
            </w:r>
          </w:p>
        </w:tc>
        <w:tc>
          <w:tcPr>
            <w:gridSpan w:val="2"/>
            <w:shd w:val="clear" w:color="auto" w:fill="E6E6E6"/>
            <w:vAlign w:val="center"/>
          </w:tcPr>
          <w:p>
            <w:pPr>
              <w:jc w:val="center"/>
            </w:pPr>
            <w:r>
              <w:t>隔声量(dB)</w:t>
            </w:r>
          </w:p>
        </w:tc>
        <w:tc>
          <w:tcPr>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w:t>
            </w:r>
          </w:p>
        </w:tc>
        <w:tc>
          <w:tcPr>
            <w:vAlign w:val="center"/>
          </w:tcPr>
          <w:p>
            <w:r>
              <w:t>53</w:t>
            </w:r>
          </w:p>
        </w:tc>
        <w:tc>
          <w:tcPr>
            <w:vAlign w:val="center"/>
          </w:tcPr>
          <w:p>
            <w:r>
              <w:t>46</w:t>
            </w:r>
          </w:p>
        </w:tc>
        <w:tc>
          <w:tcPr>
            <w:vAlign w:val="center"/>
          </w:tcPr>
          <w:p>
            <w:r>
              <w:t>36</w:t>
            </w:r>
          </w:p>
        </w:tc>
        <w:tc>
          <w:tcPr>
            <w:vAlign w:val="center"/>
          </w:tcPr>
          <w:p>
            <w:r>
              <w:t>36</w:t>
            </w:r>
          </w:p>
        </w:tc>
        <w:tc>
          <w:tcPr>
            <w:vAlign w:val="center"/>
          </w:tcPr>
          <w:p>
            <w:r>
              <w:t>17</w:t>
            </w:r>
          </w:p>
        </w:tc>
        <w:tc>
          <w:tcPr>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外墙2</w:t>
            </w:r>
          </w:p>
        </w:tc>
        <w:tc>
          <w:tcPr>
            <w:vAlign w:val="center"/>
          </w:tcPr>
          <w:p>
            <w:r>
              <w:t>53</w:t>
            </w:r>
          </w:p>
        </w:tc>
        <w:tc>
          <w:tcPr>
            <w:vAlign w:val="center"/>
          </w:tcPr>
          <w:p>
            <w:r>
              <w:t>46</w:t>
            </w:r>
          </w:p>
        </w:tc>
        <w:tc>
          <w:tcPr>
            <w:vAlign w:val="center"/>
          </w:tcPr>
          <w:p>
            <w:r>
              <w:t>38</w:t>
            </w:r>
          </w:p>
        </w:tc>
        <w:tc>
          <w:tcPr>
            <w:vAlign w:val="center"/>
          </w:tcPr>
          <w:p>
            <w:r>
              <w:t>38</w:t>
            </w:r>
          </w:p>
        </w:tc>
        <w:tc>
          <w:tcPr>
            <w:vAlign w:val="center"/>
          </w:tcPr>
          <w:p>
            <w:r>
              <w:t>15</w:t>
            </w:r>
          </w:p>
        </w:tc>
        <w:tc>
          <w:tcPr>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外墙3+外窗+外门+外窗</w:t>
            </w:r>
          </w:p>
        </w:tc>
        <w:tc>
          <w:tcPr>
            <w:vAlign w:val="center"/>
          </w:tcPr>
          <w:p>
            <w:r>
              <w:t>53</w:t>
            </w:r>
          </w:p>
        </w:tc>
        <w:tc>
          <w:tcPr>
            <w:vAlign w:val="center"/>
          </w:tcPr>
          <w:p>
            <w:r>
              <w:t>46</w:t>
            </w:r>
          </w:p>
        </w:tc>
        <w:tc>
          <w:tcPr>
            <w:vAlign w:val="center"/>
          </w:tcPr>
          <w:p>
            <w:r>
              <w:t>19</w:t>
            </w:r>
          </w:p>
        </w:tc>
        <w:tc>
          <w:tcPr>
            <w:vAlign w:val="center"/>
          </w:tcPr>
          <w:p>
            <w:r>
              <w:t>19</w:t>
            </w:r>
          </w:p>
        </w:tc>
        <w:tc>
          <w:tcPr>
            <w:vAlign w:val="center"/>
          </w:tcPr>
          <w:p>
            <w:r>
              <w:t>34</w:t>
            </w:r>
          </w:p>
        </w:tc>
        <w:tc>
          <w:tcPr>
            <w:vAlign w:val="center"/>
          </w:tcPr>
          <w:p>
            <w:r>
              <w:t>27</w:t>
            </w:r>
          </w:p>
        </w:tc>
      </w:tr>
    </w:tbl>
    <w:p>
      <w:pPr>
        <w:jc w:val="center"/>
      </w:pPr>
      <w:bookmarkStart w:id="63" w:name="组合墙传到室内噪声级"/>
      <w:bookmarkEnd w:id="63"/>
    </w:p>
    <w:p/>
    <w:p>
      <w:pPr>
        <w:pStyle w:val="3"/>
        <w:ind w:firstLine="420" w:firstLineChars="200"/>
        <w:rPr>
          <w:bCs/>
          <w:lang w:val="en-US"/>
        </w:rPr>
      </w:pPr>
      <w:r>
        <w:rPr>
          <w:rFonts w:hint="eastAsia"/>
          <w:bCs/>
          <w:lang w:val="en-US"/>
        </w:rPr>
        <w:t>室外噪声通过多面组合墙传到室内的噪声进行叠加，可得出室外对室内的噪声影响：</w:t>
      </w:r>
    </w:p>
    <w:p>
      <w:pPr>
        <w:pStyle w:val="3"/>
        <w:numPr>
          <w:ilvl w:val="0"/>
          <w:numId w:val="7"/>
        </w:numPr>
        <w:rPr>
          <w:bCs/>
          <w:lang w:val="en-US"/>
        </w:rPr>
      </w:pPr>
      <w:r>
        <w:rPr>
          <w:rFonts w:hint="eastAsia"/>
          <w:bCs/>
          <w:lang w:val="en-US"/>
        </w:rPr>
        <w:t xml:space="preserve">昼间为 </w:t>
      </w:r>
      <w:bookmarkStart w:id="64" w:name="昼间室外传声"/>
      <w:r>
        <w:rPr>
          <w:rFonts w:hint="eastAsia"/>
          <w:bCs/>
          <w:lang w:val="en-US"/>
        </w:rPr>
        <w:t>35</w:t>
      </w:r>
      <w:bookmarkEnd w:id="64"/>
      <w:r>
        <w:rPr>
          <w:bCs/>
        </w:rPr>
        <w:t xml:space="preserve"> dB</w:t>
      </w:r>
      <w:r>
        <w:rPr>
          <w:rFonts w:hint="eastAsia"/>
          <w:bCs/>
        </w:rPr>
        <w:t>（</w:t>
      </w:r>
      <w:r>
        <w:rPr>
          <w:bCs/>
        </w:rPr>
        <w:t>A</w:t>
      </w:r>
      <w:r>
        <w:rPr>
          <w:rFonts w:hint="eastAsia"/>
          <w:bCs/>
        </w:rPr>
        <w:t>）</w:t>
      </w:r>
    </w:p>
    <w:p>
      <w:pPr>
        <w:pStyle w:val="3"/>
        <w:numPr>
          <w:ilvl w:val="0"/>
          <w:numId w:val="7"/>
        </w:numPr>
        <w:rPr>
          <w:bCs/>
          <w:lang w:val="en-US"/>
        </w:rPr>
      </w:pPr>
      <w:r>
        <w:rPr>
          <w:rFonts w:hint="eastAsia"/>
          <w:bCs/>
          <w:lang w:val="en-US"/>
        </w:rPr>
        <w:t xml:space="preserve">夜间为 </w:t>
      </w:r>
      <w:bookmarkStart w:id="65" w:name="夜间室外传声"/>
      <w:r>
        <w:rPr>
          <w:rFonts w:hint="eastAsia"/>
          <w:bCs/>
          <w:lang w:val="en-US"/>
        </w:rPr>
        <w:t>28</w:t>
      </w:r>
      <w:bookmarkEnd w:id="65"/>
      <w:r>
        <w:rPr>
          <w:rFonts w:hint="eastAsia"/>
          <w:bCs/>
          <w:lang w:val="en-US"/>
        </w:rPr>
        <w:t xml:space="preserve"> </w:t>
      </w:r>
      <w:r>
        <w:rPr>
          <w:bCs/>
        </w:rPr>
        <w:t>dB</w:t>
      </w:r>
      <w:r>
        <w:rPr>
          <w:rFonts w:hint="eastAsia"/>
          <w:bCs/>
        </w:rPr>
        <w:t>（</w:t>
      </w:r>
      <w:r>
        <w:rPr>
          <w:bCs/>
        </w:rPr>
        <w:t>A</w:t>
      </w:r>
      <w:r>
        <w:rPr>
          <w:rFonts w:hint="eastAsia"/>
          <w:bCs/>
        </w:rPr>
        <w:t>）</w:t>
      </w:r>
    </w:p>
    <w:p>
      <w:pPr>
        <w:pStyle w:val="4"/>
      </w:pPr>
      <w:bookmarkStart w:id="66" w:name="_Toc25789"/>
      <w:r>
        <w:rPr>
          <w:rFonts w:hint="eastAsia"/>
        </w:rPr>
        <w:t>室内声源的影响</w:t>
      </w:r>
      <w:bookmarkEnd w:id="66"/>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2520" w:firstLineChars="1200"/>
        <w:rPr>
          <w:lang w:val="en-US"/>
        </w:rPr>
      </w:pPr>
      <w:r>
        <w:rPr>
          <w:lang w:val="en-US"/>
        </w:rPr>
        <w:drawing>
          <wp:inline distT="0" distB="0" distL="0" distR="0">
            <wp:extent cx="1224915" cy="3441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7"/>
                    <a:stretch>
                      <a:fillRect/>
                    </a:stretch>
                  </pic:blipFill>
                  <pic:spPr>
                    <a:xfrm>
                      <a:off x="0" y="0"/>
                      <a:ext cx="1275598" cy="358432"/>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6.5pt;width:16.5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4" r:id="rId58">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360" w:leftChars="200"/>
      </w:pPr>
      <w:r>
        <w:rPr>
          <w:i/>
          <w:sz w:val="20"/>
        </w:rPr>
        <w:t>L</w:t>
      </w:r>
      <w:r>
        <w:rPr>
          <w:i/>
          <w:sz w:val="20"/>
          <w:vertAlign w:val="subscript"/>
        </w:rPr>
        <w:t>X</w:t>
      </w:r>
      <w:r>
        <w:rPr>
          <w:i/>
          <w:sz w:val="16"/>
          <w:vertAlign w:val="subscript"/>
        </w:rPr>
        <w:t>i</w:t>
      </w:r>
      <w:r>
        <w:rPr>
          <w:sz w:val="16"/>
        </w:rP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rFonts w:hint="eastAsia"/>
          <w:lang w:val="en-US"/>
        </w:rPr>
        <w:t xml:space="preserve"> </w:t>
      </w:r>
      <w:r>
        <w:rPr>
          <w:lang w:val="en-US"/>
        </w:rPr>
        <w:t xml:space="preserve">                              </w:t>
      </w: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室内声源噪声级</w:t>
            </w:r>
          </w:p>
        </w:tc>
        <w:tc>
          <w:tcPr>
            <w:gridSpan w:val="2"/>
            <w:shd w:val="clear" w:color="auto" w:fill="E6E6E6"/>
            <w:vAlign w:val="center"/>
          </w:tcPr>
          <w:p>
            <w:pPr>
              <w:jc w:val="center"/>
            </w:pPr>
            <w:r>
              <w:t>相邻房间设备传到室内噪声级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45</w:t>
            </w:r>
          </w:p>
        </w:tc>
        <w:tc>
          <w:tcPr>
            <w:vAlign w:val="center"/>
          </w:tcPr>
          <w:p>
            <w:r>
              <w:t>45</w:t>
            </w:r>
          </w:p>
        </w:tc>
        <w:tc>
          <w:tcPr>
            <w:vAlign w:val="center"/>
          </w:tcPr>
          <w:p>
            <w:r>
              <w:t>--</w:t>
            </w:r>
          </w:p>
        </w:tc>
        <w:tc>
          <w:tcPr>
            <w:vAlign w:val="center"/>
          </w:tcPr>
          <w:p>
            <w:r>
              <w:t>--</w:t>
            </w:r>
          </w:p>
        </w:tc>
      </w:tr>
    </w:tbl>
    <w:p>
      <w:pPr>
        <w:jc w:val="center"/>
      </w:pPr>
      <w:bookmarkStart w:id="67" w:name="建筑内声源传声"/>
      <w:bookmarkEnd w:id="67"/>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68" w:name="_Toc18879"/>
      <w:r>
        <w:rPr>
          <w:rFonts w:hint="eastAsia"/>
        </w:rPr>
        <w:t>室内噪声级计算</w:t>
      </w:r>
      <w:bookmarkEnd w:id="68"/>
    </w:p>
    <w:p>
      <w:pPr>
        <w:pStyle w:val="3"/>
        <w:ind w:firstLine="420" w:firstLineChars="200"/>
        <w:rPr>
          <w:lang w:val="en-US"/>
        </w:rPr>
      </w:pPr>
      <w:r>
        <w:rPr>
          <w:rFonts w:hint="eastAsia"/>
          <w:lang w:val="en-US"/>
        </w:rPr>
        <w:t>根据前述计算原理和计算过程可得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2802255" cy="2667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0"/>
                    <a:stretch>
                      <a:fillRect/>
                    </a:stretch>
                  </pic:blipFill>
                  <pic:spPr>
                    <a:xfrm>
                      <a:off x="0" y="0"/>
                      <a:ext cx="2938561" cy="280206"/>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6.5pt;width:16.5pt;" o:ole="t" filled="f" o:preferrelative="t" stroked="f" coordsize="21600,21600">
            <v:path/>
            <v:fill on="f" focussize="0,0"/>
            <v:stroke on="f" joinstyle="miter"/>
            <v:imagedata r:id="rId62" o:title=""/>
            <o:lock v:ext="edit" aspectratio="t"/>
            <w10:wrap type="none"/>
            <w10:anchorlock/>
          </v:shape>
          <o:OLEObject Type="Embed" ProgID="Equation.DSMT4" ShapeID="_x0000_i1044" DrawAspect="Content" ObjectID="_1468075745" r:id="rId61">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6.5pt;width:26.25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6" r:id="rId63">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6.5pt;width:16.5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7" r:id="rId64">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w:t>
      </w:r>
    </w:p>
    <w:tbl>
      <w:tblPr>
        <w:tblStyle w:val="20"/>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37"/>
        <w:gridCol w:w="707"/>
        <w:gridCol w:w="707"/>
        <w:gridCol w:w="2150"/>
        <w:gridCol w:w="2150"/>
        <w:gridCol w:w="15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房间类型</w:t>
            </w:r>
          </w:p>
        </w:tc>
        <w:tc>
          <w:tcPr>
            <w:gridSpan w:val="2"/>
            <w:shd w:val="clear" w:color="auto" w:fill="E6E6E6"/>
            <w:vAlign w:val="center"/>
          </w:tcPr>
          <w:p>
            <w:pPr>
              <w:jc w:val="center"/>
            </w:pPr>
            <w:r>
              <w:t>室内噪声级</w:t>
            </w:r>
          </w:p>
        </w:tc>
        <w:tc>
          <w:tcPr>
            <w:gridSpan w:val="2"/>
            <w:shd w:val="clear" w:color="auto" w:fill="E6E6E6"/>
            <w:vAlign w:val="center"/>
          </w:tcPr>
          <w:p>
            <w:pPr>
              <w:jc w:val="center"/>
            </w:pPr>
            <w:r>
              <w:t>标准限值</w:t>
            </w:r>
          </w:p>
        </w:tc>
        <w:tc>
          <w:tcPr>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pPr>
              <w:jc w:val="center"/>
            </w:pPr>
            <w:r>
              <w:t>昼间</w:t>
            </w:r>
          </w:p>
        </w:tc>
        <w:tc>
          <w:tcPr>
            <w:shd w:val="clear" w:color="auto" w:fill="E6E6E6"/>
            <w:vAlign w:val="center"/>
          </w:tcPr>
          <w:p>
            <w:pPr>
              <w:jc w:val="center"/>
            </w:pPr>
            <w:r>
              <w:t>夜间</w:t>
            </w:r>
          </w:p>
        </w:tc>
        <w:tc>
          <w:tcPr>
            <w:shd w:val="clear" w:color="auto" w:fill="E6E6E6"/>
            <w:vAlign w:val="center"/>
          </w:tcPr>
          <w:p>
            <w:pPr>
              <w:jc w:val="center"/>
            </w:pPr>
            <w:r>
              <w:t>昼间</w:t>
            </w:r>
          </w:p>
        </w:tc>
        <w:tc>
          <w:tcPr>
            <w:shd w:val="clear" w:color="auto" w:fill="E6E6E6"/>
            <w:vAlign w:val="center"/>
          </w:tcPr>
          <w:p>
            <w:pPr>
              <w:jc w:val="center"/>
            </w:pPr>
            <w:r>
              <w:t>夜间</w:t>
            </w:r>
          </w:p>
        </w:tc>
        <w:tc>
          <w:tcPr>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商场商店</w:t>
            </w:r>
          </w:p>
        </w:tc>
        <w:tc>
          <w:tcPr>
            <w:vAlign w:val="center"/>
          </w:tcPr>
          <w:p>
            <w:pPr>
              <w:jc w:val="center"/>
            </w:pPr>
            <w:r>
              <w:t>45</w:t>
            </w:r>
          </w:p>
        </w:tc>
        <w:tc>
          <w:tcPr>
            <w:vAlign w:val="center"/>
          </w:tcPr>
          <w:p>
            <w:pPr>
              <w:jc w:val="center"/>
            </w:pPr>
            <w:r>
              <w:t>45</w:t>
            </w:r>
          </w:p>
        </w:tc>
        <w:tc>
          <w:tcPr>
            <w:vAlign w:val="center"/>
          </w:tcPr>
          <w:p>
            <w:pPr>
              <w:jc w:val="center"/>
            </w:pPr>
            <w:r>
              <w:t>低限:≤55,高要求:≤50</w:t>
            </w:r>
          </w:p>
        </w:tc>
        <w:tc>
          <w:tcPr>
            <w:vAlign w:val="center"/>
          </w:tcPr>
          <w:p>
            <w:pPr>
              <w:jc w:val="center"/>
            </w:pPr>
            <w:r>
              <w:t>--</w:t>
            </w:r>
          </w:p>
        </w:tc>
        <w:tc>
          <w:tcPr>
            <w:vAlign w:val="center"/>
          </w:tcPr>
          <w:p>
            <w:pPr>
              <w:jc w:val="center"/>
            </w:pPr>
            <w:r>
              <w:rPr>
                <w:b/>
              </w:rPr>
              <w:t>满足高要求</w:t>
            </w:r>
          </w:p>
        </w:tc>
      </w:tr>
    </w:tbl>
    <w:p>
      <w:pPr>
        <w:jc w:val="center"/>
      </w:pPr>
      <w:bookmarkStart w:id="69" w:name="最不利房间室内噪声级统计"/>
      <w:bookmarkEnd w:id="69"/>
    </w:p>
    <w:bookmarkEnd w:id="29"/>
    <w:p>
      <w:pPr>
        <w:pStyle w:val="2"/>
        <w:rPr>
          <w:kern w:val="2"/>
        </w:rPr>
      </w:pPr>
      <w:bookmarkStart w:id="70" w:name="_Toc20012"/>
      <w:r>
        <w:rPr>
          <w:rFonts w:hint="eastAsia"/>
          <w:kern w:val="2"/>
        </w:rPr>
        <w:t>结论</w:t>
      </w:r>
      <w:bookmarkEnd w:id="70"/>
    </w:p>
    <w:p>
      <w:pPr>
        <w:pStyle w:val="3"/>
        <w:spacing w:line="276" w:lineRule="auto"/>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71" w:name="最不利房间编号"/>
      <w:r>
        <w:t>1001房间,房间类型[商场商店]</w:t>
      </w:r>
      <w:bookmarkEnd w:id="71"/>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5616"/>
        <w:gridCol w:w="1694"/>
        <w:gridCol w:w="7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pPr>
              <w:pStyle w:val="3"/>
              <w:jc w:val="center"/>
              <w:rPr>
                <w:sz w:val="18"/>
                <w:szCs w:val="18"/>
              </w:rPr>
            </w:pPr>
            <w:r>
              <w:rPr>
                <w:sz w:val="18"/>
                <w:szCs w:val="18"/>
              </w:rPr>
              <w:t>检查项</w:t>
            </w:r>
          </w:p>
        </w:tc>
        <w:tc>
          <w:tcPr>
            <w:tcW w:w="5616" w:type="dxa"/>
            <w:shd w:val="clear" w:color="auto" w:fill="E6E6E6"/>
          </w:tcPr>
          <w:p>
            <w:pPr>
              <w:pStyle w:val="3"/>
              <w:jc w:val="center"/>
              <w:rPr>
                <w:sz w:val="18"/>
                <w:szCs w:val="18"/>
              </w:rPr>
            </w:pPr>
            <w:r>
              <w:rPr>
                <w:rFonts w:hint="eastAsia"/>
                <w:sz w:val="18"/>
                <w:szCs w:val="18"/>
              </w:rPr>
              <w:t>评价</w:t>
            </w:r>
            <w:r>
              <w:rPr>
                <w:sz w:val="18"/>
                <w:szCs w:val="18"/>
              </w:rPr>
              <w:t>依据</w:t>
            </w:r>
          </w:p>
        </w:tc>
        <w:tc>
          <w:tcPr>
            <w:tcW w:w="1694" w:type="dxa"/>
            <w:shd w:val="clear" w:color="auto" w:fill="E6E6E6"/>
            <w:vAlign w:val="center"/>
          </w:tcPr>
          <w:p>
            <w:pPr>
              <w:pStyle w:val="3"/>
              <w:jc w:val="center"/>
              <w:rPr>
                <w:sz w:val="18"/>
                <w:szCs w:val="18"/>
              </w:rPr>
            </w:pPr>
            <w:r>
              <w:rPr>
                <w:sz w:val="18"/>
                <w:szCs w:val="18"/>
              </w:rPr>
              <w:t>结论</w:t>
            </w:r>
          </w:p>
        </w:tc>
        <w:tc>
          <w:tcPr>
            <w:tcW w:w="731"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pPr>
              <w:pStyle w:val="3"/>
              <w:jc w:val="center"/>
              <w:rPr>
                <w:sz w:val="18"/>
                <w:szCs w:val="18"/>
              </w:rPr>
            </w:pPr>
            <w:r>
              <w:rPr>
                <w:sz w:val="18"/>
                <w:szCs w:val="18"/>
              </w:rPr>
              <w:t>室内噪声级</w:t>
            </w:r>
          </w:p>
        </w:tc>
        <w:tc>
          <w:tcPr>
            <w:tcW w:w="5616" w:type="dxa"/>
          </w:tcPr>
          <w:p>
            <w:pPr>
              <w:pStyle w:val="3"/>
              <w:rPr>
                <w:bCs/>
                <w:sz w:val="18"/>
                <w:szCs w:val="18"/>
              </w:rPr>
            </w:pPr>
            <w:r>
              <w:rPr>
                <w:rFonts w:hint="eastAsia"/>
                <w:bCs/>
                <w:sz w:val="18"/>
                <w:szCs w:val="18"/>
              </w:rPr>
              <w:t>控制项</w:t>
            </w:r>
            <w:r>
              <w:rPr>
                <w:bCs/>
                <w:sz w:val="18"/>
                <w:szCs w:val="18"/>
              </w:rPr>
              <w:t>：</w:t>
            </w:r>
          </w:p>
          <w:p>
            <w:pPr>
              <w:pStyle w:val="3"/>
              <w:rPr>
                <w:bCs/>
                <w:sz w:val="18"/>
                <w:szCs w:val="18"/>
              </w:rPr>
            </w:pPr>
            <w:r>
              <w:rPr>
                <w:bCs/>
                <w:sz w:val="18"/>
                <w:szCs w:val="18"/>
              </w:rPr>
              <w:t xml:space="preserve">5.1.4  </w:t>
            </w:r>
            <w:r>
              <w:rPr>
                <w:rFonts w:hint="eastAsia"/>
                <w:bCs/>
                <w:sz w:val="18"/>
                <w:szCs w:val="18"/>
              </w:rPr>
              <w:t>主要功能房间的室内噪声级应满足现行国家标准《民用建筑隔声设计规范》</w:t>
            </w:r>
            <w:r>
              <w:rPr>
                <w:bCs/>
                <w:sz w:val="18"/>
                <w:szCs w:val="18"/>
              </w:rPr>
              <w:t>GB 50118</w:t>
            </w:r>
            <w:r>
              <w:rPr>
                <w:rFonts w:hint="eastAsia"/>
                <w:bCs/>
                <w:sz w:val="18"/>
                <w:szCs w:val="18"/>
              </w:rPr>
              <w:t>中的低限要求。</w:t>
            </w:r>
          </w:p>
        </w:tc>
        <w:tc>
          <w:tcPr>
            <w:tcW w:w="1694" w:type="dxa"/>
            <w:vAlign w:val="center"/>
          </w:tcPr>
          <w:p>
            <w:pPr>
              <w:jc w:val="center"/>
              <w:rPr>
                <w:b/>
                <w:bCs/>
              </w:rPr>
            </w:pPr>
            <w:bookmarkStart w:id="72" w:name="室内噪声控制项结论"/>
            <w:r>
              <w:rPr>
                <w:b/>
                <w:bCs/>
              </w:rPr>
              <w:t>满足</w:t>
            </w:r>
            <w:bookmarkEnd w:id="72"/>
          </w:p>
        </w:tc>
        <w:tc>
          <w:tcPr>
            <w:tcW w:w="731" w:type="dxa"/>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pPr>
              <w:pStyle w:val="3"/>
              <w:rPr>
                <w:sz w:val="18"/>
                <w:szCs w:val="18"/>
              </w:rPr>
            </w:pPr>
          </w:p>
        </w:tc>
        <w:tc>
          <w:tcPr>
            <w:tcW w:w="5616" w:type="dxa"/>
          </w:tcPr>
          <w:p>
            <w:pPr>
              <w:pStyle w:val="3"/>
              <w:rPr>
                <w:bCs/>
                <w:sz w:val="18"/>
                <w:szCs w:val="18"/>
              </w:rPr>
            </w:pPr>
            <w:r>
              <w:rPr>
                <w:rFonts w:hint="eastAsia"/>
                <w:bCs/>
                <w:sz w:val="18"/>
                <w:szCs w:val="18"/>
              </w:rPr>
              <w:t>评分项：</w:t>
            </w:r>
          </w:p>
          <w:p>
            <w:pPr>
              <w:pStyle w:val="3"/>
              <w:rPr>
                <w:bCs/>
                <w:sz w:val="18"/>
                <w:szCs w:val="18"/>
              </w:rPr>
            </w:pPr>
            <w:r>
              <w:rPr>
                <w:bCs/>
                <w:sz w:val="18"/>
                <w:szCs w:val="18"/>
              </w:rPr>
              <w:t xml:space="preserve">5.2.6  </w:t>
            </w:r>
            <w:r>
              <w:rPr>
                <w:rFonts w:hint="eastAsia"/>
                <w:bCs/>
                <w:sz w:val="18"/>
                <w:szCs w:val="18"/>
              </w:rPr>
              <w:t>主要功能房间噪声级达到现行国家标准《民用建筑隔声设计规范》GB 50118 中的低限标准限值和高要求标准限值的平均值，得4分；达到高要求标准限值，得8分。</w:t>
            </w:r>
          </w:p>
        </w:tc>
        <w:tc>
          <w:tcPr>
            <w:tcW w:w="1694" w:type="dxa"/>
            <w:vAlign w:val="center"/>
          </w:tcPr>
          <w:p>
            <w:pPr>
              <w:jc w:val="center"/>
              <w:rPr>
                <w:b/>
                <w:bCs/>
              </w:rPr>
            </w:pPr>
            <w:bookmarkStart w:id="73" w:name="室内噪声评分项结论"/>
            <w:r>
              <w:rPr>
                <w:b/>
                <w:bCs/>
              </w:rPr>
              <w:t>满足高要求</w:t>
            </w:r>
            <w:bookmarkEnd w:id="73"/>
          </w:p>
        </w:tc>
        <w:tc>
          <w:tcPr>
            <w:tcW w:w="731" w:type="dxa"/>
            <w:vAlign w:val="center"/>
          </w:tcPr>
          <w:p>
            <w:pPr>
              <w:jc w:val="center"/>
              <w:rPr>
                <w:b/>
                <w:bCs/>
              </w:rPr>
            </w:pPr>
            <w:bookmarkStart w:id="74" w:name="室内噪声得分"/>
            <w:r>
              <w:rPr>
                <w:b/>
                <w:bCs/>
              </w:rPr>
              <w:t>8</w:t>
            </w:r>
            <w:bookmarkEnd w:id="74"/>
            <w:r>
              <w:rPr>
                <w:rFonts w:hint="eastAsia"/>
                <w:b/>
                <w:bCs/>
              </w:rPr>
              <w:t>分</w:t>
            </w:r>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GB6X_CNKI">
    <w:altName w:val="微软雅黑"/>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4"/>
        <w:color w:val="auto"/>
        <w:sz w:val="15"/>
        <w:szCs w:val="15"/>
        <w:u w:val="none"/>
      </w:rPr>
      <w:t>http://www.gbsware.cn/</w:t>
    </w:r>
    <w:r>
      <w:rPr>
        <w:rStyle w:val="24"/>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10</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10</w:t>
    </w:r>
    <w:r>
      <w:rPr>
        <w:sz w:val="15"/>
        <w:szCs w:val="15"/>
      </w:rPr>
      <w:fldChar w:fldCharType="end"/>
    </w:r>
    <w:r>
      <w:rPr>
        <w:sz w:val="15"/>
        <w:szCs w:val="15"/>
      </w:rPr>
      <w:ptab w:relativeTo="margin" w:alignment="right" w:leader="none"/>
    </w:r>
    <w:r>
      <w:rPr>
        <w:sz w:val="15"/>
        <w:szCs w:val="15"/>
      </w:rPr>
      <w:t>SEDU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82B653D"/>
    <w:multiLevelType w:val="multilevel"/>
    <w:tmpl w:val="482B653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5NDFhYmM1MjhiMTdmNmE0ZjZjYTE5YzE0YTk2MTQifQ=="/>
  </w:docVars>
  <w:rsids>
    <w:rsidRoot w:val="7B4A255A"/>
    <w:rsid w:val="000057CC"/>
    <w:rsid w:val="00010A67"/>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0F7F08"/>
    <w:rsid w:val="00103ACD"/>
    <w:rsid w:val="00104873"/>
    <w:rsid w:val="00105036"/>
    <w:rsid w:val="0010554E"/>
    <w:rsid w:val="00111436"/>
    <w:rsid w:val="001141D0"/>
    <w:rsid w:val="001220AD"/>
    <w:rsid w:val="00122AE1"/>
    <w:rsid w:val="001263D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617D"/>
    <w:rsid w:val="00166E8C"/>
    <w:rsid w:val="00167D12"/>
    <w:rsid w:val="0017047C"/>
    <w:rsid w:val="001726B4"/>
    <w:rsid w:val="00172ABD"/>
    <w:rsid w:val="001738D0"/>
    <w:rsid w:val="0017765A"/>
    <w:rsid w:val="00182F5F"/>
    <w:rsid w:val="00186954"/>
    <w:rsid w:val="00192E22"/>
    <w:rsid w:val="00193381"/>
    <w:rsid w:val="001A121D"/>
    <w:rsid w:val="001A13CA"/>
    <w:rsid w:val="001A7684"/>
    <w:rsid w:val="001B08D1"/>
    <w:rsid w:val="001B6384"/>
    <w:rsid w:val="001B6FE3"/>
    <w:rsid w:val="001C2C8E"/>
    <w:rsid w:val="001C49A2"/>
    <w:rsid w:val="001C55F8"/>
    <w:rsid w:val="001C72A0"/>
    <w:rsid w:val="001C7C1F"/>
    <w:rsid w:val="001D3341"/>
    <w:rsid w:val="001D36A8"/>
    <w:rsid w:val="001D4904"/>
    <w:rsid w:val="001D4E1F"/>
    <w:rsid w:val="001D633D"/>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120"/>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3076"/>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65F5"/>
    <w:rsid w:val="003C71EE"/>
    <w:rsid w:val="003D016F"/>
    <w:rsid w:val="003D1D9E"/>
    <w:rsid w:val="003D4326"/>
    <w:rsid w:val="003D7A39"/>
    <w:rsid w:val="003E0BD9"/>
    <w:rsid w:val="003E4673"/>
    <w:rsid w:val="003E4858"/>
    <w:rsid w:val="003E601A"/>
    <w:rsid w:val="003E6F01"/>
    <w:rsid w:val="003E758A"/>
    <w:rsid w:val="003F254D"/>
    <w:rsid w:val="003F2EE9"/>
    <w:rsid w:val="003F3363"/>
    <w:rsid w:val="003F42E2"/>
    <w:rsid w:val="003F5884"/>
    <w:rsid w:val="0040257F"/>
    <w:rsid w:val="00404EB4"/>
    <w:rsid w:val="0040634F"/>
    <w:rsid w:val="004112B5"/>
    <w:rsid w:val="0041508A"/>
    <w:rsid w:val="00417C57"/>
    <w:rsid w:val="00417E8E"/>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1FDA"/>
    <w:rsid w:val="004826B3"/>
    <w:rsid w:val="00482CAA"/>
    <w:rsid w:val="00484E94"/>
    <w:rsid w:val="00484ED2"/>
    <w:rsid w:val="00485BE4"/>
    <w:rsid w:val="00490644"/>
    <w:rsid w:val="004914EB"/>
    <w:rsid w:val="00492641"/>
    <w:rsid w:val="00495C6C"/>
    <w:rsid w:val="004A5724"/>
    <w:rsid w:val="004B15C1"/>
    <w:rsid w:val="004B2C27"/>
    <w:rsid w:val="004B2E1D"/>
    <w:rsid w:val="004B5705"/>
    <w:rsid w:val="004C0D01"/>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D41C2"/>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2D7"/>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8A0"/>
    <w:rsid w:val="00686FCB"/>
    <w:rsid w:val="0068795A"/>
    <w:rsid w:val="00691F24"/>
    <w:rsid w:val="00694FCA"/>
    <w:rsid w:val="0069728B"/>
    <w:rsid w:val="00697C33"/>
    <w:rsid w:val="006A0F3B"/>
    <w:rsid w:val="006A5466"/>
    <w:rsid w:val="006A5A7E"/>
    <w:rsid w:val="006A6C58"/>
    <w:rsid w:val="006A6FDD"/>
    <w:rsid w:val="006A7FA9"/>
    <w:rsid w:val="006B0A24"/>
    <w:rsid w:val="006B4607"/>
    <w:rsid w:val="006B5F00"/>
    <w:rsid w:val="006B63BC"/>
    <w:rsid w:val="006B63E8"/>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647"/>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4DB1"/>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2EA5"/>
    <w:rsid w:val="00863125"/>
    <w:rsid w:val="00863B57"/>
    <w:rsid w:val="00867903"/>
    <w:rsid w:val="00870BA1"/>
    <w:rsid w:val="00870DA6"/>
    <w:rsid w:val="00872668"/>
    <w:rsid w:val="00872DDD"/>
    <w:rsid w:val="00875271"/>
    <w:rsid w:val="008778A7"/>
    <w:rsid w:val="00880EA8"/>
    <w:rsid w:val="0088285D"/>
    <w:rsid w:val="008835EA"/>
    <w:rsid w:val="00883D6C"/>
    <w:rsid w:val="0088456F"/>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0CD2"/>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67CB9"/>
    <w:rsid w:val="009754DA"/>
    <w:rsid w:val="00976E7D"/>
    <w:rsid w:val="009777F0"/>
    <w:rsid w:val="009808C1"/>
    <w:rsid w:val="00982114"/>
    <w:rsid w:val="009824AA"/>
    <w:rsid w:val="00985D48"/>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D68B3"/>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5FB0"/>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AF6AB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1097"/>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3C0"/>
    <w:rsid w:val="00C04645"/>
    <w:rsid w:val="00C15D2B"/>
    <w:rsid w:val="00C16062"/>
    <w:rsid w:val="00C24EDF"/>
    <w:rsid w:val="00C25DB3"/>
    <w:rsid w:val="00C26015"/>
    <w:rsid w:val="00C26828"/>
    <w:rsid w:val="00C45407"/>
    <w:rsid w:val="00C456D5"/>
    <w:rsid w:val="00C51079"/>
    <w:rsid w:val="00C57F08"/>
    <w:rsid w:val="00C6012B"/>
    <w:rsid w:val="00C63237"/>
    <w:rsid w:val="00C64EA6"/>
    <w:rsid w:val="00C6749F"/>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4655"/>
    <w:rsid w:val="00CD6EE5"/>
    <w:rsid w:val="00CD750A"/>
    <w:rsid w:val="00CE0400"/>
    <w:rsid w:val="00CE0FB4"/>
    <w:rsid w:val="00CE265D"/>
    <w:rsid w:val="00CE28AA"/>
    <w:rsid w:val="00CF157B"/>
    <w:rsid w:val="00CF2737"/>
    <w:rsid w:val="00CF3202"/>
    <w:rsid w:val="00CF4A3E"/>
    <w:rsid w:val="00D01CCB"/>
    <w:rsid w:val="00D03460"/>
    <w:rsid w:val="00D0391F"/>
    <w:rsid w:val="00D04420"/>
    <w:rsid w:val="00D04514"/>
    <w:rsid w:val="00D05522"/>
    <w:rsid w:val="00D05CB3"/>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371"/>
    <w:rsid w:val="00D62A9A"/>
    <w:rsid w:val="00D636E5"/>
    <w:rsid w:val="00D65C35"/>
    <w:rsid w:val="00D65E44"/>
    <w:rsid w:val="00D75345"/>
    <w:rsid w:val="00D7576C"/>
    <w:rsid w:val="00D75E60"/>
    <w:rsid w:val="00D7640A"/>
    <w:rsid w:val="00D77028"/>
    <w:rsid w:val="00D77E1B"/>
    <w:rsid w:val="00D844B4"/>
    <w:rsid w:val="00D85846"/>
    <w:rsid w:val="00D86364"/>
    <w:rsid w:val="00D871F5"/>
    <w:rsid w:val="00D91078"/>
    <w:rsid w:val="00D912A4"/>
    <w:rsid w:val="00D91B9A"/>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04E1"/>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09E4"/>
    <w:rsid w:val="00E93D30"/>
    <w:rsid w:val="00E94900"/>
    <w:rsid w:val="00E97E49"/>
    <w:rsid w:val="00EA1811"/>
    <w:rsid w:val="00EA3EF5"/>
    <w:rsid w:val="00EA4659"/>
    <w:rsid w:val="00EA7A91"/>
    <w:rsid w:val="00EB381A"/>
    <w:rsid w:val="00EB5B8C"/>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A9F"/>
    <w:rsid w:val="00F96834"/>
    <w:rsid w:val="00F970E2"/>
    <w:rsid w:val="00F97D26"/>
    <w:rsid w:val="00FA1558"/>
    <w:rsid w:val="00FA2407"/>
    <w:rsid w:val="00FA414C"/>
    <w:rsid w:val="00FA447C"/>
    <w:rsid w:val="00FA4B87"/>
    <w:rsid w:val="00FA5D0A"/>
    <w:rsid w:val="00FA61A6"/>
    <w:rsid w:val="00FB2627"/>
    <w:rsid w:val="00FB2909"/>
    <w:rsid w:val="00FB3563"/>
    <w:rsid w:val="00FC0BE9"/>
    <w:rsid w:val="00FC1402"/>
    <w:rsid w:val="00FC27D4"/>
    <w:rsid w:val="00FC53DE"/>
    <w:rsid w:val="00FC5550"/>
    <w:rsid w:val="00FC5D96"/>
    <w:rsid w:val="00FD45EB"/>
    <w:rsid w:val="00FD4697"/>
    <w:rsid w:val="00FD5B50"/>
    <w:rsid w:val="00FD5DE2"/>
    <w:rsid w:val="00FE0816"/>
    <w:rsid w:val="00FE3524"/>
    <w:rsid w:val="00FE4618"/>
    <w:rsid w:val="00FE5B61"/>
    <w:rsid w:val="00FE5D71"/>
    <w:rsid w:val="00FE6D17"/>
    <w:rsid w:val="00FF2243"/>
    <w:rsid w:val="00FF27DF"/>
    <w:rsid w:val="00FF4A52"/>
    <w:rsid w:val="13B82C44"/>
    <w:rsid w:val="630F0E86"/>
    <w:rsid w:val="7B4A2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5"/>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pPr>
  </w:style>
  <w:style w:type="paragraph" w:styleId="18">
    <w:name w:val="toc 1"/>
    <w:basedOn w:val="1"/>
    <w:next w:val="1"/>
    <w:semiHidden/>
    <w:qFormat/>
    <w:uiPriority w:val="0"/>
    <w:pPr>
      <w:tabs>
        <w:tab w:val="left" w:leader="dot" w:pos="180"/>
        <w:tab w:val="right" w:leader="dot" w:pos="9360"/>
      </w:tabs>
    </w:pPr>
    <w:rPr>
      <w:b/>
      <w:bCs/>
      <w:kern w:val="2"/>
      <w:szCs w:val="24"/>
      <w:lang w:val="en-US"/>
    </w:rPr>
  </w:style>
  <w:style w:type="paragraph" w:styleId="19">
    <w:name w:val="toc 2"/>
    <w:basedOn w:val="1"/>
    <w:next w:val="1"/>
    <w:semiHidden/>
    <w:qFormat/>
    <w:uiPriority w:val="0"/>
    <w:pPr>
      <w:tabs>
        <w:tab w:val="left" w:pos="540"/>
        <w:tab w:val="right" w:leader="dot" w:pos="9360"/>
      </w:tabs>
      <w:ind w:left="200"/>
    </w:pPr>
    <w:rPr>
      <w:kern w:val="2"/>
      <w:szCs w:val="24"/>
      <w:lang w:val="en-US"/>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qFormat/>
    <w:uiPriority w:val="0"/>
    <w:rPr>
      <w:color w:val="0000FF"/>
      <w:u w:val="single"/>
    </w:rPr>
  </w:style>
  <w:style w:type="character" w:customStyle="1" w:styleId="25">
    <w:name w:val="正文文本缩进 字符"/>
    <w:link w:val="13"/>
    <w:qFormat/>
    <w:uiPriority w:val="0"/>
    <w:rPr>
      <w:rFonts w:ascii="微软雅黑" w:hAnsi="微软雅黑" w:eastAsia="微软雅黑"/>
      <w:kern w:val="2"/>
      <w:sz w:val="24"/>
      <w:szCs w:val="24"/>
    </w:rPr>
  </w:style>
  <w:style w:type="character" w:customStyle="1" w:styleId="26">
    <w:name w:val="正文文本缩进 Char1"/>
    <w:qFormat/>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qFormat/>
    <w:uiPriority w:val="0"/>
    <w:rPr>
      <w:rFonts w:ascii="微软雅黑" w:hAnsi="微软雅黑" w:eastAsia="微软雅黑"/>
      <w:kern w:val="2"/>
      <w:sz w:val="24"/>
      <w:szCs w:val="24"/>
    </w:rPr>
  </w:style>
  <w:style w:type="character" w:customStyle="1" w:styleId="29">
    <w:name w:val="标题 2 字符"/>
    <w:link w:val="4"/>
    <w:qFormat/>
    <w:uiPriority w:val="0"/>
    <w:rPr>
      <w:rFonts w:ascii="微软雅黑" w:hAnsi="微软雅黑" w:eastAsia="微软雅黑" w:cs="微软雅黑"/>
      <w:b/>
      <w:bCs/>
      <w:iCs/>
      <w:color w:val="000000"/>
      <w:sz w:val="24"/>
      <w:szCs w:val="24"/>
    </w:rPr>
  </w:style>
  <w:style w:type="character" w:customStyle="1" w:styleId="30">
    <w:name w:val="标题 1 字符"/>
    <w:link w:val="2"/>
    <w:qFormat/>
    <w:uiPriority w:val="0"/>
    <w:rPr>
      <w:rFonts w:ascii="微软雅黑" w:hAnsi="微软雅黑" w:eastAsia="微软雅黑" w:cs="微软雅黑"/>
      <w:b/>
      <w:bCs/>
      <w:kern w:val="32"/>
      <w:sz w:val="28"/>
      <w:szCs w:val="28"/>
    </w:rPr>
  </w:style>
  <w:style w:type="character" w:styleId="31">
    <w:name w:val="Placeholder Text"/>
    <w:basedOn w:val="22"/>
    <w:semiHidden/>
    <w:qFormat/>
    <w:uiPriority w:val="99"/>
    <w:rPr>
      <w:color w:val="808080"/>
    </w:rPr>
  </w:style>
  <w:style w:type="character" w:customStyle="1" w:styleId="32">
    <w:name w:val="批注框文本 字符"/>
    <w:basedOn w:val="22"/>
    <w:link w:val="15"/>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bmp"/><Relationship Id="rId68" Type="http://schemas.openxmlformats.org/officeDocument/2006/relationships/fontTable" Target="fontTable.xml"/><Relationship Id="rId67" Type="http://schemas.openxmlformats.org/officeDocument/2006/relationships/customXml" Target="../customXml/item2.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oleObject" Target="embeddings/oleObject23.bin"/><Relationship Id="rId63" Type="http://schemas.openxmlformats.org/officeDocument/2006/relationships/oleObject" Target="embeddings/oleObject22.bin"/><Relationship Id="rId62" Type="http://schemas.openxmlformats.org/officeDocument/2006/relationships/image" Target="media/image36.wmf"/><Relationship Id="rId61" Type="http://schemas.openxmlformats.org/officeDocument/2006/relationships/oleObject" Target="embeddings/oleObject21.bin"/><Relationship Id="rId60" Type="http://schemas.openxmlformats.org/officeDocument/2006/relationships/image" Target="media/image35.png"/><Relationship Id="rId6" Type="http://schemas.openxmlformats.org/officeDocument/2006/relationships/theme" Target="theme/theme1.xml"/><Relationship Id="rId59" Type="http://schemas.openxmlformats.org/officeDocument/2006/relationships/image" Target="media/image34.wmf"/><Relationship Id="rId58" Type="http://schemas.openxmlformats.org/officeDocument/2006/relationships/oleObject" Target="embeddings/oleObject20.bin"/><Relationship Id="rId57" Type="http://schemas.openxmlformats.org/officeDocument/2006/relationships/image" Target="media/image33.png"/><Relationship Id="rId56" Type="http://schemas.openxmlformats.org/officeDocument/2006/relationships/image" Target="media/image32.wmf"/><Relationship Id="rId55" Type="http://schemas.openxmlformats.org/officeDocument/2006/relationships/oleObject" Target="embeddings/oleObject19.bin"/><Relationship Id="rId54" Type="http://schemas.openxmlformats.org/officeDocument/2006/relationships/image" Target="media/image31.wmf"/><Relationship Id="rId53" Type="http://schemas.openxmlformats.org/officeDocument/2006/relationships/oleObject" Target="embeddings/oleObject18.bin"/><Relationship Id="rId52" Type="http://schemas.openxmlformats.org/officeDocument/2006/relationships/image" Target="media/image30.wmf"/><Relationship Id="rId51" Type="http://schemas.openxmlformats.org/officeDocument/2006/relationships/oleObject" Target="embeddings/oleObject17.bin"/><Relationship Id="rId50" Type="http://schemas.openxmlformats.org/officeDocument/2006/relationships/image" Target="media/image29.wmf"/><Relationship Id="rId5" Type="http://schemas.openxmlformats.org/officeDocument/2006/relationships/footer" Target="footer2.xml"/><Relationship Id="rId49" Type="http://schemas.openxmlformats.org/officeDocument/2006/relationships/oleObject" Target="embeddings/oleObject16.bin"/><Relationship Id="rId48" Type="http://schemas.openxmlformats.org/officeDocument/2006/relationships/image" Target="media/image28.wmf"/><Relationship Id="rId47" Type="http://schemas.openxmlformats.org/officeDocument/2006/relationships/oleObject" Target="embeddings/oleObject15.bin"/><Relationship Id="rId46" Type="http://schemas.openxmlformats.org/officeDocument/2006/relationships/image" Target="media/image27.png"/><Relationship Id="rId45" Type="http://schemas.openxmlformats.org/officeDocument/2006/relationships/image" Target="media/image26.wmf"/><Relationship Id="rId44" Type="http://schemas.openxmlformats.org/officeDocument/2006/relationships/image" Target="media/image25.wmf"/><Relationship Id="rId43" Type="http://schemas.openxmlformats.org/officeDocument/2006/relationships/oleObject" Target="embeddings/oleObject14.bin"/><Relationship Id="rId42" Type="http://schemas.openxmlformats.org/officeDocument/2006/relationships/image" Target="media/image24.wmf"/><Relationship Id="rId41" Type="http://schemas.openxmlformats.org/officeDocument/2006/relationships/oleObject" Target="embeddings/oleObject13.bin"/><Relationship Id="rId40" Type="http://schemas.openxmlformats.org/officeDocument/2006/relationships/image" Target="media/image23.png"/><Relationship Id="rId4" Type="http://schemas.openxmlformats.org/officeDocument/2006/relationships/footer" Target="footer1.xml"/><Relationship Id="rId39" Type="http://schemas.openxmlformats.org/officeDocument/2006/relationships/image" Target="media/image22.wmf"/><Relationship Id="rId38" Type="http://schemas.openxmlformats.org/officeDocument/2006/relationships/oleObject" Target="embeddings/oleObject12.bin"/><Relationship Id="rId37" Type="http://schemas.openxmlformats.org/officeDocument/2006/relationships/image" Target="media/image21.png"/><Relationship Id="rId36" Type="http://schemas.openxmlformats.org/officeDocument/2006/relationships/image" Target="media/image20.wmf"/><Relationship Id="rId35" Type="http://schemas.openxmlformats.org/officeDocument/2006/relationships/oleObject" Target="embeddings/oleObject11.bin"/><Relationship Id="rId34" Type="http://schemas.openxmlformats.org/officeDocument/2006/relationships/image" Target="media/image19.wmf"/><Relationship Id="rId33" Type="http://schemas.openxmlformats.org/officeDocument/2006/relationships/oleObject" Target="embeddings/oleObject10.bin"/><Relationship Id="rId32" Type="http://schemas.openxmlformats.org/officeDocument/2006/relationships/image" Target="media/image18.wmf"/><Relationship Id="rId31" Type="http://schemas.openxmlformats.org/officeDocument/2006/relationships/oleObject" Target="embeddings/oleObject9.bin"/><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oleObject" Target="embeddings/oleObject8.bin"/><Relationship Id="rId27" Type="http://schemas.openxmlformats.org/officeDocument/2006/relationships/image" Target="media/image15.wmf"/><Relationship Id="rId26" Type="http://schemas.openxmlformats.org/officeDocument/2006/relationships/oleObject" Target="embeddings/oleObject7.bin"/><Relationship Id="rId25" Type="http://schemas.openxmlformats.org/officeDocument/2006/relationships/image" Target="media/image14.wmf"/><Relationship Id="rId24" Type="http://schemas.openxmlformats.org/officeDocument/2006/relationships/oleObject" Target="embeddings/oleObject6.bin"/><Relationship Id="rId23" Type="http://schemas.openxmlformats.org/officeDocument/2006/relationships/image" Target="media/image13.wmf"/><Relationship Id="rId22" Type="http://schemas.openxmlformats.org/officeDocument/2006/relationships/oleObject" Target="embeddings/oleObject5.bin"/><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4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2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D53947-4637-4A4B-9BE2-A58041DD0C79}">
  <ds:schemaRefs/>
</ds:datastoreItem>
</file>

<file path=docProps/app.xml><?xml version="1.0" encoding="utf-8"?>
<Properties xmlns="http://schemas.openxmlformats.org/officeDocument/2006/extended-properties" xmlns:vt="http://schemas.openxmlformats.org/officeDocument/2006/docPropsVTypes">
  <Template>tmp46.dotx</Template>
  <Pages>13</Pages>
  <Words>5446</Words>
  <Characters>6714</Characters>
  <Lines>44</Lines>
  <Paragraphs>12</Paragraphs>
  <TotalTime>0</TotalTime>
  <ScaleCrop>false</ScaleCrop>
  <LinksUpToDate>false</LinksUpToDate>
  <CharactersWithSpaces>6973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2022-10-20T07:12:00Z</dcterms:created>
  <dc:creator>空白</dc:creator>
  <cp:lastModifiedBy>空白</cp:lastModifiedBy>
  <dcterms:modified xsi:type="dcterms:W3CDTF">2022-10-22T03:23:20Z</dcterms:modified>
  <dc:title>最不利房间室内噪声设计报告书_环评版</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373320F0C68843A1B2DF8ADC7D15C852</vt:lpwstr>
  </property>
  <property fmtid="{D5CDD505-2E9C-101B-9397-08002B2CF9AE}" pid="3" name="KSOProductBuildVer">
    <vt:lpwstr>2052-11.1.0.12598</vt:lpwstr>
  </property>
</Properties>
</file>