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校医院</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四川-成都</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2022年12月6日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T13882199396</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"_Toc121251582"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_Toc121251582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"_Toc121251583" </w:instrText>
      </w:r>
      <w:r>
        <w:fldChar w:fldCharType="separate"/>
      </w:r>
      <w:r>
        <w:rPr>
          <w:rStyle w:val="22"/>
        </w:rPr>
        <w:t>2</w:t>
      </w:r>
      <w:r>
        <w:rPr>
          <w:rFonts w:asciiTheme="minorHAnsi" w:hAnsiTheme="minorHAnsi" w:eastAsiaTheme="minorEastAsia" w:cstheme="minorBidi"/>
          <w:b w:val="0"/>
          <w:bCs w:val="0"/>
          <w:szCs w:val="22"/>
        </w:rPr>
        <w:tab/>
      </w:r>
      <w:r>
        <w:rPr>
          <w:rStyle w:val="22"/>
        </w:rPr>
        <w:t>计算依据</w:t>
      </w:r>
      <w:r>
        <w:tab/>
      </w:r>
      <w:r>
        <w:fldChar w:fldCharType="begin"/>
      </w:r>
      <w:r>
        <w:instrText xml:space="preserve"> PAGEREF _Toc121251583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"_Toc121251584" </w:instrText>
      </w:r>
      <w:r>
        <w:fldChar w:fldCharType="separate"/>
      </w:r>
      <w:r>
        <w:rPr>
          <w:rStyle w:val="22"/>
        </w:rPr>
        <w:t>3</w:t>
      </w:r>
      <w:r>
        <w:rPr>
          <w:rFonts w:asciiTheme="minorHAnsi" w:hAnsiTheme="minorHAnsi" w:eastAsiaTheme="minorEastAsia" w:cstheme="minorBidi"/>
          <w:b w:val="0"/>
          <w:bCs w:val="0"/>
          <w:szCs w:val="22"/>
        </w:rPr>
        <w:tab/>
      </w:r>
      <w:r>
        <w:rPr>
          <w:rStyle w:val="22"/>
        </w:rPr>
        <w:t>计算要求</w:t>
      </w:r>
      <w:r>
        <w:tab/>
      </w:r>
      <w:r>
        <w:fldChar w:fldCharType="begin"/>
      </w:r>
      <w:r>
        <w:instrText xml:space="preserve"> PAGEREF _Toc121251584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"_Toc121251585" </w:instrText>
      </w:r>
      <w:r>
        <w:fldChar w:fldCharType="separate"/>
      </w:r>
      <w:r>
        <w:rPr>
          <w:rStyle w:val="22"/>
          <w:lang w:val="en-GB"/>
        </w:rPr>
        <w:t>3.1</w:t>
      </w:r>
      <w:r>
        <w:rPr>
          <w:rFonts w:asciiTheme="minorHAnsi" w:hAnsiTheme="minorHAnsi" w:eastAsiaTheme="minorEastAsia" w:cstheme="minorBidi"/>
          <w:szCs w:val="22"/>
        </w:rPr>
        <w:tab/>
      </w:r>
      <w:r>
        <w:rPr>
          <w:rStyle w:val="22"/>
        </w:rPr>
        <w:t>计算目标</w:t>
      </w:r>
      <w:r>
        <w:tab/>
      </w:r>
      <w:r>
        <w:fldChar w:fldCharType="begin"/>
      </w:r>
      <w:r>
        <w:instrText xml:space="preserve"> PAGEREF _Toc121251585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"_Toc121251586" </w:instrText>
      </w:r>
      <w:r>
        <w:fldChar w:fldCharType="separate"/>
      </w:r>
      <w:r>
        <w:rPr>
          <w:rStyle w:val="22"/>
          <w:lang w:val="en-GB"/>
        </w:rPr>
        <w:t>3.2</w:t>
      </w:r>
      <w:r>
        <w:rPr>
          <w:rFonts w:asciiTheme="minorHAnsi" w:hAnsiTheme="minorHAnsi" w:eastAsiaTheme="minorEastAsia" w:cstheme="minorBidi"/>
          <w:szCs w:val="22"/>
        </w:rPr>
        <w:tab/>
      </w:r>
      <w:r>
        <w:rPr>
          <w:rStyle w:val="22"/>
        </w:rPr>
        <w:t>计算方法</w:t>
      </w:r>
      <w:r>
        <w:tab/>
      </w:r>
      <w:r>
        <w:fldChar w:fldCharType="begin"/>
      </w:r>
      <w:r>
        <w:instrText xml:space="preserve"> PAGEREF _Toc121251586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"_Toc121251587" </w:instrText>
      </w:r>
      <w:r>
        <w:fldChar w:fldCharType="separate"/>
      </w:r>
      <w:r>
        <w:rPr>
          <w:rStyle w:val="22"/>
        </w:rPr>
        <w:t>4</w:t>
      </w:r>
      <w:r>
        <w:rPr>
          <w:rFonts w:asciiTheme="minorHAnsi" w:hAnsiTheme="minorHAnsi" w:eastAsiaTheme="minorEastAsia" w:cstheme="minorBidi"/>
          <w:b w:val="0"/>
          <w:bCs w:val="0"/>
          <w:szCs w:val="22"/>
        </w:rPr>
        <w:tab/>
      </w:r>
      <w:r>
        <w:rPr>
          <w:rStyle w:val="22"/>
        </w:rPr>
        <w:t>气象数据</w:t>
      </w:r>
      <w:r>
        <w:tab/>
      </w:r>
      <w:r>
        <w:fldChar w:fldCharType="begin"/>
      </w:r>
      <w:r>
        <w:instrText xml:space="preserve"> PAGEREF _Toc121251587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"_Toc121251588" </w:instrText>
      </w:r>
      <w:r>
        <w:fldChar w:fldCharType="separate"/>
      </w:r>
      <w:r>
        <w:rPr>
          <w:rStyle w:val="22"/>
          <w:lang w:val="en-GB"/>
        </w:rPr>
        <w:t>4.1</w:t>
      </w:r>
      <w:r>
        <w:rPr>
          <w:rFonts w:asciiTheme="minorHAnsi" w:hAnsiTheme="minorHAnsi" w:eastAsiaTheme="minorEastAsia" w:cstheme="minorBidi"/>
          <w:szCs w:val="22"/>
        </w:rPr>
        <w:tab/>
      </w:r>
      <w:r>
        <w:rPr>
          <w:rStyle w:val="22"/>
        </w:rPr>
        <w:t>气象地点</w:t>
      </w:r>
      <w:r>
        <w:tab/>
      </w:r>
      <w:r>
        <w:fldChar w:fldCharType="begin"/>
      </w:r>
      <w:r>
        <w:instrText xml:space="preserve"> PAGEREF _Toc121251588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"_Toc121251589" </w:instrText>
      </w:r>
      <w:r>
        <w:fldChar w:fldCharType="separate"/>
      </w:r>
      <w:r>
        <w:rPr>
          <w:rStyle w:val="22"/>
          <w:lang w:val="en-GB"/>
        </w:rPr>
        <w:t>4.2</w:t>
      </w:r>
      <w:r>
        <w:rPr>
          <w:rFonts w:asciiTheme="minorHAnsi" w:hAnsiTheme="minorHAnsi" w:eastAsiaTheme="minorEastAsia" w:cstheme="minorBidi"/>
          <w:szCs w:val="22"/>
        </w:rPr>
        <w:tab/>
      </w:r>
      <w:r>
        <w:rPr>
          <w:rStyle w:val="22"/>
        </w:rPr>
        <w:t>逐日干球温度表</w:t>
      </w:r>
      <w:r>
        <w:tab/>
      </w:r>
      <w:r>
        <w:fldChar w:fldCharType="begin"/>
      </w:r>
      <w:r>
        <w:instrText xml:space="preserve"> PAGEREF _Toc121251589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"_Toc121251590" </w:instrText>
      </w:r>
      <w:r>
        <w:fldChar w:fldCharType="separate"/>
      </w:r>
      <w:r>
        <w:rPr>
          <w:rStyle w:val="22"/>
          <w:lang w:val="en-GB"/>
        </w:rPr>
        <w:t>4.3</w:t>
      </w:r>
      <w:r>
        <w:rPr>
          <w:rFonts w:asciiTheme="minorHAnsi" w:hAnsiTheme="minorHAnsi" w:eastAsiaTheme="minorEastAsia" w:cstheme="minorBidi"/>
          <w:szCs w:val="22"/>
        </w:rPr>
        <w:tab/>
      </w:r>
      <w:r>
        <w:rPr>
          <w:rStyle w:val="22"/>
        </w:rPr>
        <w:t>逐月辐照量表</w:t>
      </w:r>
      <w:r>
        <w:tab/>
      </w:r>
      <w:r>
        <w:fldChar w:fldCharType="begin"/>
      </w:r>
      <w:r>
        <w:instrText xml:space="preserve"> PAGEREF _Toc121251590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"_Toc121251591" </w:instrText>
      </w:r>
      <w:r>
        <w:fldChar w:fldCharType="separate"/>
      </w:r>
      <w:r>
        <w:rPr>
          <w:rStyle w:val="22"/>
          <w:lang w:val="en-GB"/>
        </w:rPr>
        <w:t>4.4</w:t>
      </w:r>
      <w:r>
        <w:rPr>
          <w:rFonts w:asciiTheme="minorHAnsi" w:hAnsiTheme="minorHAnsi" w:eastAsiaTheme="minorEastAsia" w:cstheme="minorBidi"/>
          <w:szCs w:val="22"/>
        </w:rPr>
        <w:tab/>
      </w:r>
      <w:r>
        <w:rPr>
          <w:rStyle w:val="22"/>
        </w:rPr>
        <w:t>峰值工况</w:t>
      </w:r>
      <w:r>
        <w:tab/>
      </w:r>
      <w:r>
        <w:fldChar w:fldCharType="begin"/>
      </w:r>
      <w:r>
        <w:instrText xml:space="preserve"> PAGEREF _Toc121251591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"_Toc121251592" </w:instrText>
      </w:r>
      <w:r>
        <w:fldChar w:fldCharType="separate"/>
      </w:r>
      <w:r>
        <w:rPr>
          <w:rStyle w:val="22"/>
        </w:rPr>
        <w:t>5</w:t>
      </w:r>
      <w:r>
        <w:rPr>
          <w:rFonts w:asciiTheme="minorHAnsi" w:hAnsiTheme="minorHAnsi" w:eastAsiaTheme="minorEastAsia" w:cstheme="minorBidi"/>
          <w:b w:val="0"/>
          <w:bCs w:val="0"/>
          <w:szCs w:val="22"/>
        </w:rPr>
        <w:tab/>
      </w:r>
      <w:r>
        <w:rPr>
          <w:rStyle w:val="22"/>
        </w:rPr>
        <w:t>围护结构</w:t>
      </w:r>
      <w:r>
        <w:tab/>
      </w:r>
      <w:r>
        <w:fldChar w:fldCharType="begin"/>
      </w:r>
      <w:r>
        <w:instrText xml:space="preserve"> PAGEREF _Toc121251592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"_Toc121251593" </w:instrText>
      </w:r>
      <w:r>
        <w:fldChar w:fldCharType="separate"/>
      </w:r>
      <w:r>
        <w:rPr>
          <w:rStyle w:val="22"/>
          <w:lang w:val="en-GB"/>
        </w:rPr>
        <w:t>5.1</w:t>
      </w:r>
      <w:r>
        <w:rPr>
          <w:rFonts w:asciiTheme="minorHAnsi" w:hAnsiTheme="minorHAnsi" w:eastAsiaTheme="minorEastAsia" w:cstheme="minorBidi"/>
          <w:szCs w:val="22"/>
        </w:rPr>
        <w:tab/>
      </w:r>
      <w:r>
        <w:rPr>
          <w:rStyle w:val="22"/>
        </w:rPr>
        <w:t>工程材料</w:t>
      </w:r>
      <w:r>
        <w:tab/>
      </w:r>
      <w:r>
        <w:fldChar w:fldCharType="begin"/>
      </w:r>
      <w:r>
        <w:instrText xml:space="preserve"> PAGEREF _Toc121251593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"_Toc121251594" </w:instrText>
      </w:r>
      <w:r>
        <w:fldChar w:fldCharType="separate"/>
      </w:r>
      <w:r>
        <w:rPr>
          <w:rStyle w:val="22"/>
          <w:lang w:val="en-GB"/>
        </w:rPr>
        <w:t>5.2</w:t>
      </w:r>
      <w:r>
        <w:rPr>
          <w:rFonts w:asciiTheme="minorHAnsi" w:hAnsiTheme="minorHAnsi" w:eastAsiaTheme="minorEastAsia" w:cstheme="minorBidi"/>
          <w:szCs w:val="22"/>
        </w:rPr>
        <w:tab/>
      </w:r>
      <w:r>
        <w:rPr>
          <w:rStyle w:val="22"/>
        </w:rPr>
        <w:t>围护结构作法简要说明</w:t>
      </w:r>
      <w:r>
        <w:tab/>
      </w:r>
      <w:r>
        <w:fldChar w:fldCharType="begin"/>
      </w:r>
      <w:r>
        <w:instrText xml:space="preserve"> PAGEREF _Toc121251594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"_Toc121251595" </w:instrText>
      </w:r>
      <w:r>
        <w:fldChar w:fldCharType="separate"/>
      </w:r>
      <w:r>
        <w:rPr>
          <w:rStyle w:val="22"/>
        </w:rPr>
        <w:t>6</w:t>
      </w:r>
      <w:r>
        <w:rPr>
          <w:rFonts w:asciiTheme="minorHAnsi" w:hAnsiTheme="minorHAnsi" w:eastAsiaTheme="minorEastAsia" w:cstheme="minorBidi"/>
          <w:b w:val="0"/>
          <w:bCs w:val="0"/>
          <w:szCs w:val="22"/>
        </w:rPr>
        <w:tab/>
      </w:r>
      <w:r>
        <w:rPr>
          <w:rStyle w:val="22"/>
        </w:rPr>
        <w:t>房间类型</w:t>
      </w:r>
      <w:r>
        <w:tab/>
      </w:r>
      <w:r>
        <w:fldChar w:fldCharType="begin"/>
      </w:r>
      <w:r>
        <w:instrText xml:space="preserve"> PAGEREF _Toc121251595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"_Toc121251596" </w:instrText>
      </w:r>
      <w:r>
        <w:fldChar w:fldCharType="separate"/>
      </w:r>
      <w:r>
        <w:rPr>
          <w:rStyle w:val="22"/>
          <w:lang w:val="en-GB"/>
        </w:rPr>
        <w:t>6.1</w:t>
      </w:r>
      <w:r>
        <w:rPr>
          <w:rFonts w:asciiTheme="minorHAnsi" w:hAnsiTheme="minorHAnsi" w:eastAsiaTheme="minorEastAsia" w:cstheme="minorBidi"/>
          <w:szCs w:val="22"/>
        </w:rPr>
        <w:tab/>
      </w:r>
      <w:r>
        <w:rPr>
          <w:rStyle w:val="22"/>
        </w:rPr>
        <w:t>房间表</w:t>
      </w:r>
      <w:r>
        <w:tab/>
      </w:r>
      <w:r>
        <w:fldChar w:fldCharType="begin"/>
      </w:r>
      <w:r>
        <w:instrText xml:space="preserve"> PAGEREF _Toc121251596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"_Toc121251597" </w:instrText>
      </w:r>
      <w:r>
        <w:fldChar w:fldCharType="separate"/>
      </w:r>
      <w:r>
        <w:rPr>
          <w:rStyle w:val="22"/>
          <w:lang w:val="en-GB"/>
        </w:rPr>
        <w:t>6.2</w:t>
      </w:r>
      <w:r>
        <w:rPr>
          <w:rFonts w:asciiTheme="minorHAnsi" w:hAnsiTheme="minorHAnsi" w:eastAsiaTheme="minorEastAsia" w:cstheme="minorBidi"/>
          <w:szCs w:val="22"/>
        </w:rPr>
        <w:tab/>
      </w:r>
      <w:r>
        <w:rPr>
          <w:rStyle w:val="22"/>
        </w:rPr>
        <w:t>作息时间表</w:t>
      </w:r>
      <w:r>
        <w:tab/>
      </w:r>
      <w:r>
        <w:fldChar w:fldCharType="begin"/>
      </w:r>
      <w:r>
        <w:instrText xml:space="preserve"> PAGEREF _Toc121251597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"_Toc121251598" </w:instrText>
      </w:r>
      <w:r>
        <w:fldChar w:fldCharType="separate"/>
      </w:r>
      <w:r>
        <w:rPr>
          <w:rStyle w:val="22"/>
        </w:rPr>
        <w:t>7</w:t>
      </w:r>
      <w:r>
        <w:rPr>
          <w:rFonts w:asciiTheme="minorHAnsi" w:hAnsiTheme="minorHAnsi" w:eastAsiaTheme="minorEastAsia" w:cstheme="minorBidi"/>
          <w:b w:val="0"/>
          <w:bCs w:val="0"/>
          <w:szCs w:val="22"/>
        </w:rPr>
        <w:tab/>
      </w:r>
      <w:r>
        <w:rPr>
          <w:rStyle w:val="22"/>
        </w:rPr>
        <w:t>计算结果</w:t>
      </w:r>
      <w:r>
        <w:tab/>
      </w:r>
      <w:r>
        <w:fldChar w:fldCharType="begin"/>
      </w:r>
      <w:r>
        <w:instrText xml:space="preserve"> PAGEREF _Toc121251598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"_Toc121251599" </w:instrText>
      </w:r>
      <w:r>
        <w:fldChar w:fldCharType="separate"/>
      </w:r>
      <w:r>
        <w:rPr>
          <w:rStyle w:val="22"/>
          <w:lang w:val="en-GB"/>
        </w:rPr>
        <w:t>7.1</w:t>
      </w:r>
      <w:r>
        <w:rPr>
          <w:rFonts w:asciiTheme="minorHAnsi" w:hAnsiTheme="minorHAnsi" w:eastAsiaTheme="minorEastAsia" w:cstheme="minorBidi"/>
          <w:szCs w:val="22"/>
        </w:rPr>
        <w:tab/>
      </w:r>
      <w:r>
        <w:rPr>
          <w:rStyle w:val="22"/>
        </w:rPr>
        <w:t>围护结构热工性能对比</w:t>
      </w:r>
      <w:r>
        <w:tab/>
      </w:r>
      <w:r>
        <w:fldChar w:fldCharType="begin"/>
      </w:r>
      <w:r>
        <w:instrText xml:space="preserve"> PAGEREF _Toc121251599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"_Toc121251600" </w:instrText>
      </w:r>
      <w:r>
        <w:fldChar w:fldCharType="separate"/>
      </w:r>
      <w:r>
        <w:rPr>
          <w:rStyle w:val="22"/>
          <w:lang w:val="en-GB"/>
        </w:rPr>
        <w:t>7.2</w:t>
      </w:r>
      <w:r>
        <w:rPr>
          <w:rFonts w:asciiTheme="minorHAnsi" w:hAnsiTheme="minorHAnsi" w:eastAsiaTheme="minorEastAsia" w:cstheme="minorBidi"/>
          <w:szCs w:val="22"/>
        </w:rPr>
        <w:tab/>
      </w:r>
      <w:r>
        <w:rPr>
          <w:rStyle w:val="22"/>
        </w:rPr>
        <w:t>负荷分项统计</w:t>
      </w:r>
      <w:r>
        <w:tab/>
      </w:r>
      <w:r>
        <w:fldChar w:fldCharType="begin"/>
      </w:r>
      <w:r>
        <w:instrText xml:space="preserve"> PAGEREF _Toc121251600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"_Toc121251601" </w:instrText>
      </w:r>
      <w:r>
        <w:fldChar w:fldCharType="separate"/>
      </w:r>
      <w:r>
        <w:rPr>
          <w:rStyle w:val="22"/>
          <w:lang w:val="en-GB"/>
        </w:rPr>
        <w:t>7.3</w:t>
      </w:r>
      <w:r>
        <w:rPr>
          <w:rFonts w:asciiTheme="minorHAnsi" w:hAnsiTheme="minorHAnsi" w:eastAsiaTheme="minorEastAsia" w:cstheme="minorBidi"/>
          <w:szCs w:val="22"/>
        </w:rPr>
        <w:tab/>
      </w:r>
      <w:r>
        <w:rPr>
          <w:rStyle w:val="22"/>
        </w:rPr>
        <w:t>逐月负荷表</w:t>
      </w:r>
      <w:r>
        <w:tab/>
      </w:r>
      <w:r>
        <w:fldChar w:fldCharType="begin"/>
      </w:r>
      <w:r>
        <w:instrText xml:space="preserve"> PAGEREF _Toc121251601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"_Toc121251602" </w:instrText>
      </w:r>
      <w:r>
        <w:fldChar w:fldCharType="separate"/>
      </w:r>
      <w:r>
        <w:rPr>
          <w:rStyle w:val="22"/>
          <w:lang w:val="en-GB"/>
        </w:rPr>
        <w:t>7.4</w:t>
      </w:r>
      <w:r>
        <w:rPr>
          <w:rFonts w:asciiTheme="minorHAnsi" w:hAnsiTheme="minorHAnsi" w:eastAsiaTheme="minorEastAsia" w:cstheme="minorBidi"/>
          <w:szCs w:val="22"/>
        </w:rPr>
        <w:tab/>
      </w:r>
      <w:r>
        <w:rPr>
          <w:rStyle w:val="22"/>
        </w:rPr>
        <w:t>围护结构节能率</w:t>
      </w:r>
      <w:r>
        <w:tab/>
      </w:r>
      <w:r>
        <w:fldChar w:fldCharType="begin"/>
      </w:r>
      <w:r>
        <w:instrText xml:space="preserve"> PAGEREF _Toc121251602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"_Toc121251603" </w:instrText>
      </w:r>
      <w:r>
        <w:fldChar w:fldCharType="separate"/>
      </w:r>
      <w:r>
        <w:rPr>
          <w:rStyle w:val="22"/>
        </w:rPr>
        <w:t>8</w:t>
      </w:r>
      <w:r>
        <w:rPr>
          <w:rFonts w:asciiTheme="minorHAnsi" w:hAnsiTheme="minorHAnsi" w:eastAsiaTheme="minorEastAsia" w:cstheme="minorBidi"/>
          <w:b w:val="0"/>
          <w:bCs w:val="0"/>
          <w:szCs w:val="22"/>
        </w:rPr>
        <w:tab/>
      </w:r>
      <w:r>
        <w:rPr>
          <w:rStyle w:val="22"/>
        </w:rPr>
        <w:t>绿色建筑性能评估得分</w:t>
      </w:r>
      <w:r>
        <w:tab/>
      </w:r>
      <w:r>
        <w:fldChar w:fldCharType="begin"/>
      </w:r>
      <w:r>
        <w:instrText xml:space="preserve"> PAGEREF _Toc121251603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"_Toc121251604" </w:instrText>
      </w:r>
      <w:r>
        <w:fldChar w:fldCharType="separate"/>
      </w:r>
      <w:r>
        <w:rPr>
          <w:rStyle w:val="22"/>
          <w:lang w:val="en-GB"/>
        </w:rPr>
        <w:t>8.1</w:t>
      </w:r>
      <w:r>
        <w:rPr>
          <w:rFonts w:asciiTheme="minorHAnsi" w:hAnsiTheme="minorHAnsi" w:eastAsiaTheme="minorEastAsia" w:cstheme="minorBidi"/>
          <w:szCs w:val="22"/>
        </w:rPr>
        <w:tab/>
      </w:r>
      <w:r>
        <w:rPr>
          <w:rStyle w:val="22"/>
        </w:rPr>
        <w:t>优化建筑围护结构的热工性能</w:t>
      </w:r>
      <w:r>
        <w:tab/>
      </w:r>
      <w:r>
        <w:fldChar w:fldCharType="begin"/>
      </w:r>
      <w:r>
        <w:instrText xml:space="preserve"> PAGEREF _Toc121251604 \h </w:instrText>
      </w:r>
      <w:r>
        <w:fldChar w:fldCharType="separate"/>
      </w:r>
      <w:r>
        <w:t>10</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"_Toc121251605" </w:instrText>
      </w:r>
      <w:r>
        <w:fldChar w:fldCharType="separate"/>
      </w:r>
      <w:r>
        <w:rPr>
          <w:rStyle w:val="22"/>
        </w:rPr>
        <w:t>9</w:t>
      </w:r>
      <w:r>
        <w:rPr>
          <w:rFonts w:asciiTheme="minorHAnsi" w:hAnsiTheme="minorHAnsi" w:eastAsiaTheme="minorEastAsia" w:cstheme="minorBidi"/>
          <w:b w:val="0"/>
          <w:bCs w:val="0"/>
          <w:szCs w:val="22"/>
        </w:rPr>
        <w:tab/>
      </w:r>
      <w:r>
        <w:rPr>
          <w:rStyle w:val="22"/>
        </w:rPr>
        <w:t>附录</w:t>
      </w:r>
      <w:r>
        <w:tab/>
      </w:r>
      <w:r>
        <w:fldChar w:fldCharType="begin"/>
      </w:r>
      <w:r>
        <w:instrText xml:space="preserve"> PAGEREF _Toc121251605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"_Toc121251606" </w:instrText>
      </w:r>
      <w:r>
        <w:fldChar w:fldCharType="separate"/>
      </w:r>
      <w:r>
        <w:rPr>
          <w:rStyle w:val="22"/>
          <w:lang w:val="en-GB"/>
        </w:rPr>
        <w:t>9.1</w:t>
      </w:r>
      <w:r>
        <w:rPr>
          <w:rFonts w:asciiTheme="minorHAnsi" w:hAnsiTheme="minorHAnsi" w:eastAsiaTheme="minorEastAsia" w:cstheme="minorBidi"/>
          <w:szCs w:val="22"/>
        </w:rPr>
        <w:tab/>
      </w:r>
      <w:r>
        <w:rPr>
          <w:rStyle w:val="22"/>
        </w:rPr>
        <w:t>工作日/节假日人员逐时在室率(%)</w:t>
      </w:r>
      <w:r>
        <w:tab/>
      </w:r>
      <w:r>
        <w:fldChar w:fldCharType="begin"/>
      </w:r>
      <w:r>
        <w:instrText xml:space="preserve"> PAGEREF _Toc121251606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"_Toc121251607" </w:instrText>
      </w:r>
      <w:r>
        <w:fldChar w:fldCharType="separate"/>
      </w:r>
      <w:r>
        <w:rPr>
          <w:rStyle w:val="22"/>
          <w:lang w:val="en-GB"/>
        </w:rPr>
        <w:t>9.2</w:t>
      </w:r>
      <w:r>
        <w:rPr>
          <w:rFonts w:asciiTheme="minorHAnsi" w:hAnsiTheme="minorHAnsi" w:eastAsiaTheme="minorEastAsia" w:cstheme="minorBidi"/>
          <w:szCs w:val="22"/>
        </w:rPr>
        <w:tab/>
      </w:r>
      <w:r>
        <w:rPr>
          <w:rStyle w:val="22"/>
        </w:rPr>
        <w:t>工作日/节假日照明开关时间表(%)</w:t>
      </w:r>
      <w:r>
        <w:tab/>
      </w:r>
      <w:r>
        <w:fldChar w:fldCharType="begin"/>
      </w:r>
      <w:r>
        <w:instrText xml:space="preserve"> PAGEREF _Toc121251607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"_Toc121251608" </w:instrText>
      </w:r>
      <w:r>
        <w:fldChar w:fldCharType="separate"/>
      </w:r>
      <w:r>
        <w:rPr>
          <w:rStyle w:val="22"/>
          <w:lang w:val="en-GB"/>
        </w:rPr>
        <w:t>9.3</w:t>
      </w:r>
      <w:r>
        <w:rPr>
          <w:rFonts w:asciiTheme="minorHAnsi" w:hAnsiTheme="minorHAnsi" w:eastAsiaTheme="minorEastAsia" w:cstheme="minorBidi"/>
          <w:szCs w:val="22"/>
        </w:rPr>
        <w:tab/>
      </w:r>
      <w:r>
        <w:rPr>
          <w:rStyle w:val="22"/>
        </w:rPr>
        <w:t>工作日/节假日设备逐时使用率(%)</w:t>
      </w:r>
      <w:r>
        <w:tab/>
      </w:r>
      <w:r>
        <w:fldChar w:fldCharType="begin"/>
      </w:r>
      <w:r>
        <w:instrText xml:space="preserve"> PAGEREF _Toc121251608 \h </w:instrText>
      </w:r>
      <w:r>
        <w:fldChar w:fldCharType="separate"/>
      </w:r>
      <w:r>
        <w:t>14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21251582"/>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校医院</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四川-成都</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31.00</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104.01</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2975</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5</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18.3</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建筑体积"/>
            <w:r>
              <w:t>10889.18</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外表面积"/>
            <w:r>
              <w:t>2777.99</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4" w:name="北向角度"/>
            <w:r>
              <w:t>99</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5" w:name="结构类型"/>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6" w:name="外墙ρ"/>
            <w:r>
              <w:rPr>
                <w:rFonts w:hint="eastAsia"/>
              </w:rPr>
              <w:t>0.89</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7" w:name="屋顶ρ"/>
            <w:r>
              <w:rPr>
                <w:rFonts w:hint="eastAsia"/>
              </w:rPr>
              <w:t>0.70</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8" w:name="控温期"/>
            <w:r>
              <w:t>全年控温</w:t>
            </w:r>
            <w:bookmarkEnd w:id="28"/>
          </w:p>
        </w:tc>
      </w:tr>
    </w:tbl>
    <w:p>
      <w:pPr>
        <w:pStyle w:val="3"/>
        <w:ind w:firstLine="0" w:firstLineChars="0"/>
        <w:rPr>
          <w:lang w:val="en-US"/>
        </w:rPr>
      </w:pPr>
      <w:bookmarkStart w:id="29" w:name="TitleFormat"/>
    </w:p>
    <w:p>
      <w:pPr>
        <w:pStyle w:val="3"/>
        <w:ind w:firstLine="0" w:firstLineChars="0"/>
        <w:rPr>
          <w:lang w:val="en-US"/>
        </w:rPr>
      </w:pPr>
    </w:p>
    <w:p>
      <w:pPr>
        <w:pStyle w:val="2"/>
      </w:pPr>
      <w:bookmarkStart w:id="30" w:name="_Toc121251583"/>
      <w:r>
        <w:rPr>
          <w:rFonts w:hint="eastAsia"/>
        </w:rPr>
        <w:t>计算依据</w:t>
      </w:r>
      <w:bookmarkEnd w:id="30"/>
    </w:p>
    <w:bookmarkEnd w:id="29"/>
    <w:p>
      <w:pPr>
        <w:widowControl w:val="0"/>
        <w:jc w:val="both"/>
        <w:rPr>
          <w:kern w:val="2"/>
          <w:szCs w:val="24"/>
          <w:lang w:val="en-US"/>
        </w:rPr>
      </w:pPr>
      <w:bookmarkStart w:id="31" w:name="计算依据"/>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《公共建筑节能设计标准》(GB50189-2015)</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pPr>
      <w:bookmarkStart w:id="32" w:name="_Toc13616"/>
      <w:bookmarkStart w:id="33" w:name="_Toc121251584"/>
      <w:r>
        <w:rPr>
          <w:rFonts w:hint="eastAsia"/>
        </w:rPr>
        <w:t>计算要求</w:t>
      </w:r>
      <w:bookmarkEnd w:id="32"/>
      <w:bookmarkEnd w:id="33"/>
    </w:p>
    <w:p>
      <w:pPr>
        <w:pStyle w:val="4"/>
        <w:tabs>
          <w:tab w:val="clear" w:pos="578"/>
        </w:tabs>
        <w:rPr>
          <w:kern w:val="2"/>
          <w:sz w:val="21"/>
        </w:rPr>
      </w:pPr>
      <w:bookmarkStart w:id="34" w:name="_Toc22090"/>
      <w:bookmarkStart w:id="35" w:name="_Toc121251585"/>
      <w:r>
        <w:rPr>
          <w:rFonts w:hint="eastAsia"/>
          <w:kern w:val="2"/>
          <w:sz w:val="21"/>
        </w:rPr>
        <w:t>计算目标</w:t>
      </w:r>
      <w:bookmarkEnd w:id="34"/>
      <w:bookmarkEnd w:id="35"/>
    </w:p>
    <w:p>
      <w:pPr>
        <w:ind w:firstLine="420" w:firstLineChars="200"/>
        <w:rPr>
          <w:kern w:val="2"/>
          <w:szCs w:val="24"/>
          <w:lang w:val="en-US"/>
        </w:rPr>
      </w:pPr>
      <w:r>
        <w:rPr>
          <w:rFonts w:hint="eastAsia"/>
          <w:szCs w:val="21"/>
          <w:lang w:val="en-US"/>
        </w:rPr>
        <w:t>依据《绿色建筑评价标准》(GB/T50378-201</w:t>
      </w:r>
      <w:r>
        <w:rPr>
          <w:szCs w:val="21"/>
          <w:lang w:val="en-US"/>
        </w:rPr>
        <w:t>9</w:t>
      </w:r>
      <w:r>
        <w:rPr>
          <w:rFonts w:hint="eastAsia"/>
          <w:szCs w:val="21"/>
          <w:lang w:val="en-US"/>
        </w:rPr>
        <w:t>)第7.2.4条相关内容，对于建筑围护结构节能率进行计算。</w:t>
      </w:r>
      <w:r>
        <w:rPr>
          <w:rFonts w:hint="eastAsia"/>
          <w:kern w:val="2"/>
          <w:szCs w:val="24"/>
          <w:lang w:val="en-US"/>
        </w:rPr>
        <w:t xml:space="preserve"> </w:t>
      </w:r>
    </w:p>
    <w:p>
      <w:pPr>
        <w:pStyle w:val="4"/>
        <w:tabs>
          <w:tab w:val="clear" w:pos="578"/>
        </w:tabs>
        <w:rPr>
          <w:kern w:val="2"/>
          <w:sz w:val="21"/>
        </w:rPr>
      </w:pPr>
      <w:bookmarkStart w:id="36" w:name="_Toc121251586"/>
      <w:bookmarkStart w:id="37" w:name="_Toc5419"/>
      <w:r>
        <w:rPr>
          <w:rFonts w:hint="eastAsia"/>
          <w:kern w:val="2"/>
          <w:sz w:val="21"/>
        </w:rPr>
        <w:t>计算方法</w:t>
      </w:r>
      <w:bookmarkEnd w:id="36"/>
      <w:bookmarkEnd w:id="37"/>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bookmarkEnd w:id="38"/>
    <w:p>
      <w:pPr>
        <w:pStyle w:val="2"/>
      </w:pPr>
      <w:bookmarkStart w:id="39" w:name="_Toc121251587"/>
      <w:r>
        <w:rPr>
          <w:rFonts w:hint="eastAsia"/>
        </w:rPr>
        <w:t>气象数据</w:t>
      </w:r>
      <w:bookmarkEnd w:id="39"/>
    </w:p>
    <w:p>
      <w:pPr>
        <w:pStyle w:val="4"/>
      </w:pPr>
      <w:bookmarkStart w:id="40" w:name="_Toc121251588"/>
      <w:r>
        <w:rPr>
          <w:rFonts w:hint="eastAsia"/>
        </w:rPr>
        <w:t>气象地点</w:t>
      </w:r>
      <w:bookmarkEnd w:id="40"/>
    </w:p>
    <w:p>
      <w:pPr>
        <w:pStyle w:val="3"/>
        <w:ind w:firstLine="420"/>
        <w:rPr>
          <w:lang w:val="en-US"/>
        </w:rPr>
      </w:pPr>
      <w:bookmarkStart w:id="41" w:name="气象数据来源"/>
      <w:r>
        <w:t>四川-成都, 《中国建筑热环境分析专用气象数据集》</w:t>
      </w:r>
      <w:bookmarkEnd w:id="41"/>
    </w:p>
    <w:p>
      <w:pPr>
        <w:pStyle w:val="4"/>
      </w:pPr>
      <w:bookmarkStart w:id="42" w:name="_Toc121251589"/>
      <w:r>
        <w:rPr>
          <w:rFonts w:hint="eastAsia"/>
        </w:rPr>
        <w:t>逐日干球温度表</w:t>
      </w:r>
      <w:bookmarkEnd w:id="42"/>
    </w:p>
    <w:p>
      <w:pPr>
        <w:pStyle w:val="3"/>
        <w:ind w:firstLine="0" w:firstLineChars="0"/>
        <w:rPr>
          <w:lang w:val="en-US"/>
        </w:rPr>
      </w:pPr>
      <w:bookmarkStart w:id="43" w:name="日均干球温度变化表"/>
      <w:bookmarkEnd w:id="43"/>
      <w:r>
        <w:drawing>
          <wp:inline distT="0" distB="0" distL="0" distR="0">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2828925"/>
                    </a:xfrm>
                    <a:prstGeom prst="rect">
                      <a:avLst/>
                    </a:prstGeom>
                  </pic:spPr>
                </pic:pic>
              </a:graphicData>
            </a:graphic>
          </wp:inline>
        </w:drawing>
      </w:r>
    </w:p>
    <w:p>
      <w:pPr>
        <w:pStyle w:val="4"/>
      </w:pPr>
      <w:bookmarkStart w:id="44" w:name="_Toc121251590"/>
      <w:r>
        <w:rPr>
          <w:rFonts w:hint="eastAsia"/>
        </w:rPr>
        <w:t>逐月辐照量表</w:t>
      </w:r>
      <w:bookmarkEnd w:id="44"/>
    </w:p>
    <w:p>
      <w:pPr>
        <w:pStyle w:val="3"/>
        <w:ind w:firstLine="0" w:firstLineChars="0"/>
        <w:rPr>
          <w:lang w:val="en-US"/>
        </w:rPr>
      </w:pPr>
      <w:bookmarkStart w:id="45" w:name="逐月辐照量图表"/>
      <w:bookmarkEnd w:id="45"/>
      <w:r>
        <w:drawing>
          <wp:inline distT="0" distB="0" distL="0" distR="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2543175"/>
                    </a:xfrm>
                    <a:prstGeom prst="rect">
                      <a:avLst/>
                    </a:prstGeom>
                  </pic:spPr>
                </pic:pic>
              </a:graphicData>
            </a:graphic>
          </wp:inline>
        </w:drawing>
      </w:r>
    </w:p>
    <w:p>
      <w:pPr>
        <w:pStyle w:val="4"/>
      </w:pPr>
      <w:bookmarkStart w:id="46" w:name="_Toc121251591"/>
      <w:r>
        <w:rPr>
          <w:rFonts w:hint="eastAsia"/>
        </w:rPr>
        <w:t>峰值工况</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06月14日14时</w:t>
            </w:r>
          </w:p>
        </w:tc>
        <w:tc>
          <w:tcPr>
            <w:tcW w:w="1556" w:type="dxa"/>
            <w:vAlign w:val="center"/>
          </w:tcPr>
          <w:p>
            <w:r>
              <w:t>35.0</w:t>
            </w:r>
          </w:p>
        </w:tc>
        <w:tc>
          <w:tcPr>
            <w:tcW w:w="1556" w:type="dxa"/>
            <w:vAlign w:val="center"/>
          </w:tcPr>
          <w:p>
            <w:r>
              <w:t>25.0</w:t>
            </w:r>
          </w:p>
        </w:tc>
        <w:tc>
          <w:tcPr>
            <w:tcW w:w="1556" w:type="dxa"/>
            <w:vAlign w:val="center"/>
          </w:tcPr>
          <w:p>
            <w:r>
              <w:t>17.2</w:t>
            </w:r>
          </w:p>
        </w:tc>
        <w:tc>
          <w:tcPr>
            <w:tcW w:w="1556" w:type="dxa"/>
            <w:vAlign w:val="center"/>
          </w:tcPr>
          <w:p>
            <w:r>
              <w:t>79.3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01月05日06时</w:t>
            </w:r>
          </w:p>
        </w:tc>
        <w:tc>
          <w:tcPr>
            <w:tcW w:w="1556" w:type="dxa"/>
            <w:vAlign w:val="center"/>
          </w:tcPr>
          <w:p>
            <w:r>
              <w:t>-1.1</w:t>
            </w:r>
          </w:p>
        </w:tc>
        <w:tc>
          <w:tcPr>
            <w:tcW w:w="1556" w:type="dxa"/>
            <w:vAlign w:val="center"/>
          </w:tcPr>
          <w:p>
            <w:r>
              <w:t>-1.1</w:t>
            </w:r>
          </w:p>
        </w:tc>
        <w:tc>
          <w:tcPr>
            <w:tcW w:w="1556" w:type="dxa"/>
            <w:vAlign w:val="center"/>
          </w:tcPr>
          <w:p>
            <w:r>
              <w:t>3.4</w:t>
            </w:r>
          </w:p>
        </w:tc>
        <w:tc>
          <w:tcPr>
            <w:tcW w:w="1556" w:type="dxa"/>
            <w:vAlign w:val="center"/>
          </w:tcPr>
          <w:p>
            <w:r>
              <w:t>7.4</w:t>
            </w:r>
          </w:p>
        </w:tc>
      </w:tr>
    </w:tbl>
    <w:p>
      <w:pPr>
        <w:pStyle w:val="2"/>
        <w:widowControl w:val="0"/>
        <w:jc w:val="both"/>
      </w:pPr>
      <w:bookmarkStart w:id="47" w:name="气象峰值工况"/>
      <w:bookmarkEnd w:id="47"/>
      <w:bookmarkStart w:id="48" w:name="_Toc121251592"/>
      <w:r>
        <w:t>围护结构</w:t>
      </w:r>
      <w:bookmarkEnd w:id="48"/>
    </w:p>
    <w:p>
      <w:pPr>
        <w:pStyle w:val="4"/>
        <w:widowControl w:val="0"/>
      </w:pPr>
      <w:bookmarkStart w:id="49" w:name="_Toc121251593"/>
      <w:r>
        <w:t>工程材料</w:t>
      </w:r>
      <w:bookmarkEnd w:id="49"/>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岩棉板</w:t>
            </w:r>
          </w:p>
        </w:tc>
        <w:tc>
          <w:tcPr>
            <w:tcW w:w="1018" w:type="dxa"/>
            <w:vAlign w:val="center"/>
          </w:tcPr>
          <w:p>
            <w:r>
              <w:t>0.041</w:t>
            </w:r>
          </w:p>
        </w:tc>
        <w:tc>
          <w:tcPr>
            <w:tcW w:w="1030" w:type="dxa"/>
            <w:vAlign w:val="center"/>
          </w:tcPr>
          <w:p>
            <w:r>
              <w:t>0.615</w:t>
            </w:r>
          </w:p>
        </w:tc>
        <w:tc>
          <w:tcPr>
            <w:tcW w:w="848" w:type="dxa"/>
            <w:vAlign w:val="center"/>
          </w:tcPr>
          <w:p>
            <w:r>
              <w:t>110.0</w:t>
            </w:r>
          </w:p>
        </w:tc>
        <w:tc>
          <w:tcPr>
            <w:tcW w:w="1018" w:type="dxa"/>
            <w:vAlign w:val="center"/>
          </w:tcPr>
          <w:p>
            <w:r>
              <w:t>1220.0</w:t>
            </w:r>
          </w:p>
        </w:tc>
        <w:tc>
          <w:tcPr>
            <w:tcW w:w="1188" w:type="dxa"/>
            <w:vAlign w:val="center"/>
          </w:tcPr>
          <w:p>
            <w:r>
              <w:t>0.4880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挤塑聚苯乙烯泡沫塑料（带表皮）</w:t>
            </w:r>
          </w:p>
        </w:tc>
        <w:tc>
          <w:tcPr>
            <w:tcW w:w="1018" w:type="dxa"/>
            <w:vAlign w:val="center"/>
          </w:tcPr>
          <w:p>
            <w:r>
              <w:t>0.030</w:t>
            </w:r>
          </w:p>
        </w:tc>
        <w:tc>
          <w:tcPr>
            <w:tcW w:w="1030" w:type="dxa"/>
            <w:vAlign w:val="center"/>
          </w:tcPr>
          <w:p>
            <w:r>
              <w:t>0.340</w:t>
            </w:r>
          </w:p>
        </w:tc>
        <w:tc>
          <w:tcPr>
            <w:tcW w:w="848" w:type="dxa"/>
            <w:vAlign w:val="center"/>
          </w:tcPr>
          <w:p>
            <w:r>
              <w:t>35.0</w:t>
            </w:r>
          </w:p>
        </w:tc>
        <w:tc>
          <w:tcPr>
            <w:tcW w:w="1018" w:type="dxa"/>
            <w:vAlign w:val="center"/>
          </w:tcPr>
          <w:p>
            <w:r>
              <w:t>1380.0</w:t>
            </w:r>
          </w:p>
        </w:tc>
        <w:tc>
          <w:tcPr>
            <w:tcW w:w="1188" w:type="dxa"/>
            <w:vAlign w:val="center"/>
          </w:tcPr>
          <w:p>
            <w:r>
              <w:t>0.0000</w:t>
            </w:r>
          </w:p>
        </w:tc>
        <w:tc>
          <w:tcPr>
            <w:tcW w:w="1516" w:type="dxa"/>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聚合聚苯板</w:t>
            </w:r>
          </w:p>
        </w:tc>
        <w:tc>
          <w:tcPr>
            <w:tcW w:w="1018" w:type="dxa"/>
            <w:vAlign w:val="center"/>
          </w:tcPr>
          <w:p>
            <w:r>
              <w:t>0.037</w:t>
            </w:r>
          </w:p>
        </w:tc>
        <w:tc>
          <w:tcPr>
            <w:tcW w:w="1030" w:type="dxa"/>
            <w:vAlign w:val="center"/>
          </w:tcPr>
          <w:p>
            <w:r>
              <w:t>0.360</w:t>
            </w:r>
          </w:p>
        </w:tc>
        <w:tc>
          <w:tcPr>
            <w:tcW w:w="848" w:type="dxa"/>
            <w:vAlign w:val="center"/>
          </w:tcPr>
          <w:p>
            <w:r>
              <w:t>37.4</w:t>
            </w:r>
          </w:p>
        </w:tc>
        <w:tc>
          <w:tcPr>
            <w:tcW w:w="1018" w:type="dxa"/>
            <w:vAlign w:val="center"/>
          </w:tcPr>
          <w:p>
            <w:r>
              <w:t>1.4</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聚氨酯硬泡沫塑料</w:t>
            </w:r>
          </w:p>
        </w:tc>
        <w:tc>
          <w:tcPr>
            <w:tcW w:w="1018" w:type="dxa"/>
            <w:vAlign w:val="center"/>
          </w:tcPr>
          <w:p>
            <w:r>
              <w:t>0.024</w:t>
            </w:r>
          </w:p>
        </w:tc>
        <w:tc>
          <w:tcPr>
            <w:tcW w:w="1030" w:type="dxa"/>
            <w:vAlign w:val="center"/>
          </w:tcPr>
          <w:p>
            <w:r>
              <w:t>0.290</w:t>
            </w:r>
          </w:p>
        </w:tc>
        <w:tc>
          <w:tcPr>
            <w:tcW w:w="848" w:type="dxa"/>
            <w:vAlign w:val="center"/>
          </w:tcPr>
          <w:p>
            <w:r>
              <w:t>35.0</w:t>
            </w:r>
          </w:p>
        </w:tc>
        <w:tc>
          <w:tcPr>
            <w:tcW w:w="1018" w:type="dxa"/>
            <w:vAlign w:val="center"/>
          </w:tcPr>
          <w:p>
            <w:r>
              <w:t>1380.0</w:t>
            </w:r>
          </w:p>
        </w:tc>
        <w:tc>
          <w:tcPr>
            <w:tcW w:w="1188" w:type="dxa"/>
            <w:vAlign w:val="center"/>
          </w:tcPr>
          <w:p>
            <w:r>
              <w:t>0.0234</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混凝土多孔砖(190六孔砖）</w:t>
            </w:r>
          </w:p>
        </w:tc>
        <w:tc>
          <w:tcPr>
            <w:tcW w:w="1018" w:type="dxa"/>
            <w:vAlign w:val="center"/>
          </w:tcPr>
          <w:p>
            <w:r>
              <w:t>0.750</w:t>
            </w:r>
          </w:p>
        </w:tc>
        <w:tc>
          <w:tcPr>
            <w:tcW w:w="1030" w:type="dxa"/>
            <w:vAlign w:val="center"/>
          </w:tcPr>
          <w:p>
            <w:r>
              <w:t>7.490</w:t>
            </w:r>
          </w:p>
        </w:tc>
        <w:tc>
          <w:tcPr>
            <w:tcW w:w="848" w:type="dxa"/>
            <w:vAlign w:val="center"/>
          </w:tcPr>
          <w:p>
            <w:r>
              <w:t>1450.0</w:t>
            </w:r>
          </w:p>
        </w:tc>
        <w:tc>
          <w:tcPr>
            <w:tcW w:w="1018" w:type="dxa"/>
            <w:vAlign w:val="center"/>
          </w:tcPr>
          <w:p>
            <w:r>
              <w:t>709.4</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高炉炉渣</w:t>
            </w:r>
          </w:p>
        </w:tc>
        <w:tc>
          <w:tcPr>
            <w:tcW w:w="1018" w:type="dxa"/>
            <w:vAlign w:val="center"/>
          </w:tcPr>
          <w:p>
            <w:r>
              <w:t>0.260</w:t>
            </w:r>
          </w:p>
        </w:tc>
        <w:tc>
          <w:tcPr>
            <w:tcW w:w="1030" w:type="dxa"/>
            <w:vAlign w:val="center"/>
          </w:tcPr>
          <w:p>
            <w:r>
              <w:t>3.920</w:t>
            </w:r>
          </w:p>
        </w:tc>
        <w:tc>
          <w:tcPr>
            <w:tcW w:w="848" w:type="dxa"/>
            <w:vAlign w:val="center"/>
          </w:tcPr>
          <w:p>
            <w:r>
              <w:t>900.0</w:t>
            </w:r>
          </w:p>
        </w:tc>
        <w:tc>
          <w:tcPr>
            <w:tcW w:w="1018" w:type="dxa"/>
            <w:vAlign w:val="center"/>
          </w:tcPr>
          <w:p>
            <w:r>
              <w:t>920.0</w:t>
            </w:r>
          </w:p>
        </w:tc>
        <w:tc>
          <w:tcPr>
            <w:tcW w:w="1188" w:type="dxa"/>
            <w:vAlign w:val="center"/>
          </w:tcPr>
          <w:p>
            <w:r>
              <w:t>0.2030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粉煤灰淤泥烧结节能砖S1-2型(ρ=1600)</w:t>
            </w:r>
          </w:p>
        </w:tc>
        <w:tc>
          <w:tcPr>
            <w:tcW w:w="1018" w:type="dxa"/>
            <w:vAlign w:val="center"/>
          </w:tcPr>
          <w:p>
            <w:r>
              <w:t>0.420</w:t>
            </w:r>
          </w:p>
        </w:tc>
        <w:tc>
          <w:tcPr>
            <w:tcW w:w="1030" w:type="dxa"/>
            <w:vAlign w:val="center"/>
          </w:tcPr>
          <w:p>
            <w:r>
              <w:t>9.560</w:t>
            </w:r>
          </w:p>
        </w:tc>
        <w:tc>
          <w:tcPr>
            <w:tcW w:w="848" w:type="dxa"/>
            <w:vAlign w:val="center"/>
          </w:tcPr>
          <w:p>
            <w:r>
              <w:t>1600.0</w:t>
            </w:r>
          </w:p>
        </w:tc>
        <w:tc>
          <w:tcPr>
            <w:tcW w:w="1018" w:type="dxa"/>
            <w:vAlign w:val="center"/>
          </w:tcPr>
          <w:p>
            <w:r>
              <w:t>1870.0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SBS改性沥青防水卷材</w:t>
            </w:r>
          </w:p>
        </w:tc>
        <w:tc>
          <w:tcPr>
            <w:tcW w:w="1018" w:type="dxa"/>
            <w:vAlign w:val="center"/>
          </w:tcPr>
          <w:p>
            <w:r>
              <w:t>0.230</w:t>
            </w:r>
          </w:p>
        </w:tc>
        <w:tc>
          <w:tcPr>
            <w:tcW w:w="1030" w:type="dxa"/>
            <w:vAlign w:val="center"/>
          </w:tcPr>
          <w:p>
            <w:r>
              <w:t>9.370</w:t>
            </w:r>
          </w:p>
        </w:tc>
        <w:tc>
          <w:tcPr>
            <w:tcW w:w="848" w:type="dxa"/>
            <w:vAlign w:val="center"/>
          </w:tcPr>
          <w:p>
            <w:r>
              <w:t>900.0</w:t>
            </w:r>
          </w:p>
        </w:tc>
        <w:tc>
          <w:tcPr>
            <w:tcW w:w="1018" w:type="dxa"/>
            <w:vAlign w:val="center"/>
          </w:tcPr>
          <w:p>
            <w:r>
              <w:t>1620.0</w:t>
            </w:r>
          </w:p>
        </w:tc>
        <w:tc>
          <w:tcPr>
            <w:tcW w:w="1188" w:type="dxa"/>
            <w:vAlign w:val="center"/>
          </w:tcPr>
          <w:p>
            <w:r>
              <w:t>0.0000</w:t>
            </w:r>
          </w:p>
        </w:tc>
        <w:tc>
          <w:tcPr>
            <w:tcW w:w="1516" w:type="dxa"/>
            <w:vAlign w:val="center"/>
          </w:tcPr>
          <w:p>
            <w:pPr>
              <w:rPr>
                <w:sz w:val="18"/>
                <w:szCs w:val="18"/>
              </w:rPr>
            </w:pPr>
          </w:p>
        </w:tc>
      </w:tr>
    </w:tbl>
    <w:p>
      <w:pPr>
        <w:pStyle w:val="4"/>
        <w:widowControl w:val="0"/>
      </w:pPr>
      <w:bookmarkStart w:id="50" w:name="_Toc121251594"/>
      <w:r>
        <w:t>围护结构作法简要说明</w:t>
      </w:r>
      <w:bookmarkEnd w:id="50"/>
    </w:p>
    <w:p>
      <w:pPr>
        <w:widowControl w:val="0"/>
        <w:jc w:val="both"/>
      </w:pPr>
      <w:r>
        <w:rPr>
          <w:b/>
          <w:color w:val="000000"/>
          <w:sz w:val="24"/>
          <w:szCs w:val="24"/>
        </w:rPr>
        <w:t>1. 屋顶构造：</w:t>
      </w:r>
      <w:r>
        <w:rPr>
          <w:color w:val="0000FF"/>
          <w:szCs w:val="21"/>
        </w:rPr>
        <w:t>屋面：</w:t>
      </w:r>
      <w:r>
        <w:rPr>
          <w:color w:val="000000"/>
        </w:rPr>
        <w:t>（由上到下）</w:t>
      </w:r>
    </w:p>
    <w:p>
      <w:pPr>
        <w:widowControl w:val="0"/>
        <w:jc w:val="both"/>
      </w:pPr>
      <w:r>
        <w:t xml:space="preserve">    </w:t>
      </w:r>
      <w:r>
        <w:rPr>
          <w:color w:val="000000"/>
        </w:rPr>
        <w:t>水泥砂浆 20mm＋SBS改性沥青防水卷材 4mm＋水泥砂浆 20mm＋SBS改性沥青防水卷材 4mm＋水泥砂浆 25mm＋高炉炉渣 30mm＋</w:t>
      </w:r>
      <w:r>
        <w:rPr>
          <w:color w:val="800000"/>
        </w:rPr>
        <w:t>挤塑聚苯乙烯泡沫塑料（带表皮） 60mm</w:t>
      </w:r>
      <w:r>
        <w:rPr>
          <w:color w:val="000000"/>
        </w:rPr>
        <w:t>＋水泥砂浆 20mm＋</w:t>
      </w:r>
      <w:r>
        <w:rPr>
          <w:color w:val="800080"/>
        </w:rPr>
        <w:t>钢筋混凝土 120mm</w:t>
      </w:r>
    </w:p>
    <w:p>
      <w:pPr>
        <w:widowControl w:val="0"/>
        <w:jc w:val="both"/>
        <w:rPr>
          <w:color w:val="000000"/>
        </w:rPr>
      </w:pPr>
    </w:p>
    <w:p>
      <w:pPr>
        <w:widowControl w:val="0"/>
        <w:jc w:val="both"/>
        <w:rPr>
          <w:color w:val="000000"/>
        </w:rPr>
      </w:pPr>
      <w:r>
        <w:rPr>
          <w:b/>
          <w:color w:val="000000"/>
          <w:sz w:val="24"/>
          <w:szCs w:val="24"/>
        </w:rPr>
        <w:t>2. 外墙构造：</w:t>
      </w:r>
      <w:r>
        <w:rPr>
          <w:color w:val="0000FF"/>
          <w:szCs w:val="21"/>
        </w:rPr>
        <w:t>外墙1：</w:t>
      </w:r>
      <w:r>
        <w:rPr>
          <w:color w:val="000000"/>
        </w:rPr>
        <w:t>（由外到内）</w:t>
      </w:r>
    </w:p>
    <w:p>
      <w:pPr>
        <w:widowControl w:val="0"/>
        <w:jc w:val="both"/>
        <w:rPr>
          <w:color w:val="000000"/>
        </w:rPr>
      </w:pPr>
      <w:r>
        <w:rPr>
          <w:color w:val="000000"/>
        </w:rPr>
        <w:t xml:space="preserve">    水泥砂浆 20mm＋</w:t>
      </w:r>
      <w:r>
        <w:rPr>
          <w:color w:val="800000"/>
        </w:rPr>
        <w:t>聚氨酯硬泡沫塑料 50mm</w:t>
      </w:r>
      <w:r>
        <w:rPr>
          <w:color w:val="000000"/>
        </w:rPr>
        <w:t>＋水泥砂浆 20mm＋</w:t>
      </w:r>
      <w:r>
        <w:rPr>
          <w:color w:val="800080"/>
        </w:rPr>
        <w:t>粉煤灰淤泥烧结节能砖S1-2型(ρ=1600) 200mm</w:t>
      </w:r>
    </w:p>
    <w:p>
      <w:pPr>
        <w:widowControl w:val="0"/>
        <w:jc w:val="both"/>
        <w:rPr>
          <w:color w:val="000000"/>
        </w:rPr>
      </w:pPr>
    </w:p>
    <w:p>
      <w:pPr>
        <w:widowControl w:val="0"/>
        <w:jc w:val="both"/>
        <w:rPr>
          <w:color w:val="000000"/>
        </w:rPr>
      </w:pPr>
      <w:r>
        <w:rPr>
          <w:b/>
          <w:color w:val="000000"/>
          <w:sz w:val="24"/>
          <w:szCs w:val="24"/>
        </w:rPr>
        <w:t>3. 挑空楼板构造：</w:t>
      </w:r>
      <w:r>
        <w:rPr>
          <w:color w:val="0000FF"/>
          <w:szCs w:val="21"/>
        </w:rPr>
        <w:t>挑空楼板构造一：</w:t>
      </w:r>
      <w:r>
        <w:rPr>
          <w:color w:val="000000"/>
        </w:rPr>
        <w:t>（由上到下）</w:t>
      </w:r>
    </w:p>
    <w:p>
      <w:pPr>
        <w:widowControl w:val="0"/>
        <w:jc w:val="both"/>
        <w:rPr>
          <w:color w:val="000000"/>
        </w:rPr>
      </w:pPr>
      <w:r>
        <w:rPr>
          <w:color w:val="000000"/>
        </w:rPr>
        <w:t xml:space="preserve">    水泥砂浆 20mm＋</w:t>
      </w:r>
      <w:r>
        <w:rPr>
          <w:color w:val="800000"/>
        </w:rPr>
        <w:t>岩棉板 50mm</w:t>
      </w:r>
      <w:r>
        <w:rPr>
          <w:color w:val="000000"/>
        </w:rPr>
        <w:t>＋</w:t>
      </w:r>
      <w:r>
        <w:rPr>
          <w:color w:val="800080"/>
        </w:rPr>
        <w:t>钢筋混凝土 120mm</w:t>
      </w:r>
      <w:r>
        <w:rPr>
          <w:color w:val="000000"/>
        </w:rPr>
        <w:t>＋水泥砂浆 20mm</w:t>
      </w:r>
    </w:p>
    <w:p>
      <w:pPr>
        <w:widowControl w:val="0"/>
        <w:jc w:val="both"/>
        <w:rPr>
          <w:color w:val="000000"/>
        </w:rPr>
      </w:pPr>
    </w:p>
    <w:p>
      <w:pPr>
        <w:widowControl w:val="0"/>
        <w:jc w:val="both"/>
        <w:rPr>
          <w:color w:val="000000"/>
        </w:rPr>
      </w:pPr>
      <w:r>
        <w:rPr>
          <w:b/>
          <w:color w:val="000000"/>
          <w:sz w:val="24"/>
          <w:szCs w:val="24"/>
        </w:rPr>
        <w:t>4. 外窗构造：</w:t>
      </w:r>
      <w:r>
        <w:rPr>
          <w:color w:val="0000FF"/>
          <w:szCs w:val="21"/>
        </w:rPr>
        <w:t>铝塑复合型材+6Low-E+12A+6mm白透中空玻璃：</w:t>
      </w:r>
    </w:p>
    <w:p>
      <w:pPr>
        <w:widowControl w:val="0"/>
        <w:jc w:val="both"/>
        <w:rPr>
          <w:color w:val="000000"/>
        </w:rPr>
      </w:pPr>
      <w:r>
        <w:rPr>
          <w:color w:val="000000"/>
        </w:rPr>
        <w:t xml:space="preserve">    传热系数3.900W/m^2.K，太阳得热系数0.652</w:t>
      </w:r>
    </w:p>
    <w:p>
      <w:pPr>
        <w:widowControl w:val="0"/>
        <w:jc w:val="both"/>
        <w:rPr>
          <w:color w:val="000000"/>
        </w:rPr>
      </w:pPr>
    </w:p>
    <w:p>
      <w:pPr>
        <w:pStyle w:val="2"/>
        <w:widowControl w:val="0"/>
        <w:jc w:val="both"/>
        <w:rPr>
          <w:color w:val="000000"/>
        </w:rPr>
      </w:pPr>
      <w:bookmarkStart w:id="51" w:name="_Toc121251595"/>
      <w:r>
        <w:rPr>
          <w:color w:val="000000"/>
        </w:rPr>
        <w:t>房间类型</w:t>
      </w:r>
      <w:bookmarkEnd w:id="51"/>
    </w:p>
    <w:p>
      <w:pPr>
        <w:pStyle w:val="4"/>
        <w:widowControl w:val="0"/>
      </w:pPr>
      <w:bookmarkStart w:id="52" w:name="_Toc121251596"/>
      <w:r>
        <w:t>房间表</w:t>
      </w:r>
      <w:bookmarkEnd w:id="5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80" w:type="dxa"/>
            <w:shd w:val="clear" w:color="auto" w:fill="E6E6E6"/>
            <w:vAlign w:val="center"/>
          </w:tcPr>
          <w:p>
            <w:pPr>
              <w:jc w:val="center"/>
            </w:pPr>
            <w:r>
              <w:t>供暖</w:t>
            </w:r>
            <w:r>
              <w:br w:type="textWrapping"/>
            </w:r>
            <w:r>
              <w:t>温度℃</w:t>
            </w:r>
          </w:p>
        </w:tc>
        <w:tc>
          <w:tcPr>
            <w:tcW w:w="1274" w:type="dxa"/>
            <w:shd w:val="clear" w:color="auto" w:fill="E6E6E6"/>
            <w:vAlign w:val="center"/>
          </w:tcPr>
          <w:p>
            <w:pPr>
              <w:jc w:val="center"/>
            </w:pPr>
            <w:r>
              <w:t>新风量</w:t>
            </w:r>
          </w:p>
        </w:tc>
        <w:tc>
          <w:tcPr>
            <w:tcW w:w="1132" w:type="dxa"/>
            <w:shd w:val="clear" w:color="auto" w:fill="E6E6E6"/>
            <w:vAlign w:val="center"/>
          </w:tcPr>
          <w:p>
            <w:pPr>
              <w:jc w:val="center"/>
            </w:pPr>
            <w:r>
              <w:t>渗透风</w:t>
            </w:r>
            <w:r>
              <w:br w:type="textWrapping"/>
            </w:r>
            <w:r>
              <w:t>换气次数</w:t>
            </w:r>
          </w:p>
        </w:tc>
        <w:tc>
          <w:tcPr>
            <w:tcW w:w="1132" w:type="dxa"/>
            <w:shd w:val="clear" w:color="auto" w:fill="E6E6E6"/>
            <w:vAlign w:val="center"/>
          </w:tcPr>
          <w:p>
            <w:pPr>
              <w:jc w:val="center"/>
            </w:pPr>
            <w:r>
              <w:t>人员密度</w:t>
            </w:r>
          </w:p>
        </w:tc>
        <w:tc>
          <w:tcPr>
            <w:tcW w:w="1132" w:type="dxa"/>
            <w:shd w:val="clear" w:color="auto" w:fill="E6E6E6"/>
            <w:vAlign w:val="center"/>
          </w:tcPr>
          <w:p>
            <w:pPr>
              <w:jc w:val="center"/>
            </w:pPr>
            <w:r>
              <w:t>照明功率</w:t>
            </w:r>
            <w:r>
              <w:br w:type="textWrapping"/>
            </w:r>
            <w:r>
              <w:t>密度</w:t>
            </w:r>
          </w:p>
        </w:tc>
        <w:tc>
          <w:tcPr>
            <w:tcW w:w="1132"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空房间</w:t>
            </w:r>
          </w:p>
        </w:tc>
        <w:tc>
          <w:tcPr>
            <w:tcW w:w="973" w:type="dxa"/>
            <w:vAlign w:val="center"/>
          </w:tcPr>
          <w:p>
            <w:pPr>
              <w:jc w:val="center"/>
            </w:pPr>
            <w:r>
              <w:t>－</w:t>
            </w:r>
          </w:p>
        </w:tc>
        <w:tc>
          <w:tcPr>
            <w:tcW w:w="980" w:type="dxa"/>
            <w:vAlign w:val="center"/>
          </w:tcPr>
          <w:p>
            <w:pPr>
              <w:jc w:val="center"/>
            </w:pPr>
            <w:r>
              <w:t>－</w:t>
            </w:r>
          </w:p>
        </w:tc>
        <w:tc>
          <w:tcPr>
            <w:tcW w:w="1274" w:type="dxa"/>
            <w:vAlign w:val="center"/>
          </w:tcPr>
          <w:p>
            <w:pPr>
              <w:jc w:val="center"/>
            </w:pPr>
            <w:r>
              <w:t>20(m</w:t>
            </w:r>
            <w:r>
              <w:rPr>
                <w:vertAlign w:val="superscript"/>
              </w:rPr>
              <w:t>3</w:t>
            </w:r>
            <w:r>
              <w:t>/h.人)</w:t>
            </w:r>
          </w:p>
        </w:tc>
        <w:tc>
          <w:tcPr>
            <w:tcW w:w="1132" w:type="dxa"/>
            <w:vAlign w:val="center"/>
          </w:tcPr>
          <w:p>
            <w:pPr>
              <w:jc w:val="center"/>
            </w:pPr>
            <w:r>
              <w:t>0(次/h)</w:t>
            </w:r>
          </w:p>
        </w:tc>
        <w:tc>
          <w:tcPr>
            <w:tcW w:w="1132" w:type="dxa"/>
            <w:vAlign w:val="center"/>
          </w:tcPr>
          <w:p>
            <w:pPr>
              <w:jc w:val="center"/>
            </w:pPr>
            <w:r>
              <w:t>50(㎡/人)</w:t>
            </w:r>
          </w:p>
        </w:tc>
        <w:tc>
          <w:tcPr>
            <w:tcW w:w="1132" w:type="dxa"/>
            <w:vAlign w:val="center"/>
          </w:tcPr>
          <w:p>
            <w:pPr>
              <w:jc w:val="center"/>
            </w:pPr>
            <w:r>
              <w:t>0(W/㎡)</w:t>
            </w:r>
          </w:p>
        </w:tc>
        <w:tc>
          <w:tcPr>
            <w:tcW w:w="1132" w:type="dxa"/>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诊室</w:t>
            </w:r>
          </w:p>
        </w:tc>
        <w:tc>
          <w:tcPr>
            <w:tcW w:w="973" w:type="dxa"/>
            <w:vAlign w:val="center"/>
          </w:tcPr>
          <w:p>
            <w:pPr>
              <w:jc w:val="center"/>
            </w:pPr>
            <w:r>
              <w:t>26</w:t>
            </w:r>
          </w:p>
        </w:tc>
        <w:tc>
          <w:tcPr>
            <w:tcW w:w="980" w:type="dxa"/>
            <w:vAlign w:val="center"/>
          </w:tcPr>
          <w:p>
            <w:pPr>
              <w:jc w:val="center"/>
            </w:pPr>
            <w:r>
              <w:t>20</w:t>
            </w:r>
          </w:p>
        </w:tc>
        <w:tc>
          <w:tcPr>
            <w:tcW w:w="1274" w:type="dxa"/>
            <w:vAlign w:val="center"/>
          </w:tcPr>
          <w:p>
            <w:pPr>
              <w:jc w:val="center"/>
            </w:pPr>
            <w:r>
              <w:t>30(m</w:t>
            </w:r>
            <w:r>
              <w:rPr>
                <w:vertAlign w:val="superscript"/>
              </w:rPr>
              <w:t>3</w:t>
            </w:r>
            <w:r>
              <w:t>/h.人)</w:t>
            </w:r>
          </w:p>
        </w:tc>
        <w:tc>
          <w:tcPr>
            <w:tcW w:w="1132" w:type="dxa"/>
            <w:vAlign w:val="center"/>
          </w:tcPr>
          <w:p>
            <w:pPr>
              <w:jc w:val="center"/>
            </w:pPr>
            <w:r>
              <w:t>0(次/h)</w:t>
            </w:r>
          </w:p>
        </w:tc>
        <w:tc>
          <w:tcPr>
            <w:tcW w:w="1132" w:type="dxa"/>
            <w:vAlign w:val="center"/>
          </w:tcPr>
          <w:p>
            <w:pPr>
              <w:jc w:val="center"/>
            </w:pPr>
            <w:r>
              <w:t>10(㎡/人)</w:t>
            </w:r>
          </w:p>
        </w:tc>
        <w:tc>
          <w:tcPr>
            <w:tcW w:w="1132" w:type="dxa"/>
            <w:vAlign w:val="center"/>
          </w:tcPr>
          <w:p>
            <w:pPr>
              <w:jc w:val="center"/>
            </w:pPr>
            <w:r>
              <w:t>9(W/㎡)</w:t>
            </w:r>
          </w:p>
        </w:tc>
        <w:tc>
          <w:tcPr>
            <w:tcW w:w="1132"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走廊</w:t>
            </w:r>
          </w:p>
        </w:tc>
        <w:tc>
          <w:tcPr>
            <w:tcW w:w="973" w:type="dxa"/>
            <w:vAlign w:val="center"/>
          </w:tcPr>
          <w:p>
            <w:pPr>
              <w:jc w:val="center"/>
            </w:pPr>
            <w:r>
              <w:t>26</w:t>
            </w:r>
          </w:p>
        </w:tc>
        <w:tc>
          <w:tcPr>
            <w:tcW w:w="980" w:type="dxa"/>
            <w:vAlign w:val="center"/>
          </w:tcPr>
          <w:p>
            <w:pPr>
              <w:jc w:val="center"/>
            </w:pPr>
            <w:r>
              <w:t>20</w:t>
            </w:r>
          </w:p>
        </w:tc>
        <w:tc>
          <w:tcPr>
            <w:tcW w:w="1274" w:type="dxa"/>
            <w:vAlign w:val="center"/>
          </w:tcPr>
          <w:p>
            <w:pPr>
              <w:jc w:val="center"/>
            </w:pPr>
            <w:r>
              <w:t>30(m</w:t>
            </w:r>
            <w:r>
              <w:rPr>
                <w:vertAlign w:val="superscript"/>
              </w:rPr>
              <w:t>3</w:t>
            </w:r>
            <w:r>
              <w:t>/h.人)</w:t>
            </w:r>
          </w:p>
        </w:tc>
        <w:tc>
          <w:tcPr>
            <w:tcW w:w="1132" w:type="dxa"/>
            <w:vAlign w:val="center"/>
          </w:tcPr>
          <w:p>
            <w:pPr>
              <w:jc w:val="center"/>
            </w:pPr>
            <w:r>
              <w:t>0(次/h)</w:t>
            </w:r>
          </w:p>
        </w:tc>
        <w:tc>
          <w:tcPr>
            <w:tcW w:w="1132" w:type="dxa"/>
            <w:vAlign w:val="center"/>
          </w:tcPr>
          <w:p>
            <w:pPr>
              <w:jc w:val="center"/>
            </w:pPr>
            <w:r>
              <w:t>10(㎡/人)</w:t>
            </w:r>
          </w:p>
        </w:tc>
        <w:tc>
          <w:tcPr>
            <w:tcW w:w="1132" w:type="dxa"/>
            <w:vAlign w:val="center"/>
          </w:tcPr>
          <w:p>
            <w:pPr>
              <w:jc w:val="center"/>
            </w:pPr>
            <w:r>
              <w:t>9(W/㎡)</w:t>
            </w:r>
          </w:p>
        </w:tc>
        <w:tc>
          <w:tcPr>
            <w:tcW w:w="1132"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门诊-机房等非空调房间</w:t>
            </w:r>
          </w:p>
        </w:tc>
        <w:tc>
          <w:tcPr>
            <w:tcW w:w="973" w:type="dxa"/>
            <w:vAlign w:val="center"/>
          </w:tcPr>
          <w:p>
            <w:pPr>
              <w:jc w:val="center"/>
            </w:pPr>
            <w:r>
              <w:t>－</w:t>
            </w:r>
          </w:p>
        </w:tc>
        <w:tc>
          <w:tcPr>
            <w:tcW w:w="980" w:type="dxa"/>
            <w:vAlign w:val="center"/>
          </w:tcPr>
          <w:p>
            <w:pPr>
              <w:jc w:val="center"/>
            </w:pPr>
            <w:r>
              <w:t>－</w:t>
            </w:r>
          </w:p>
        </w:tc>
        <w:tc>
          <w:tcPr>
            <w:tcW w:w="1274" w:type="dxa"/>
            <w:vAlign w:val="center"/>
          </w:tcPr>
          <w:p>
            <w:pPr>
              <w:jc w:val="center"/>
            </w:pPr>
            <w:r>
              <w:t>0(m</w:t>
            </w:r>
            <w:r>
              <w:rPr>
                <w:vertAlign w:val="superscript"/>
              </w:rPr>
              <w:t>3</w:t>
            </w:r>
            <w:r>
              <w:t>/h.人)</w:t>
            </w:r>
          </w:p>
        </w:tc>
        <w:tc>
          <w:tcPr>
            <w:tcW w:w="1132" w:type="dxa"/>
            <w:vAlign w:val="center"/>
          </w:tcPr>
          <w:p>
            <w:pPr>
              <w:jc w:val="center"/>
            </w:pPr>
            <w:r>
              <w:t>0(次/h)</w:t>
            </w:r>
          </w:p>
        </w:tc>
        <w:tc>
          <w:tcPr>
            <w:tcW w:w="1132" w:type="dxa"/>
            <w:vAlign w:val="center"/>
          </w:tcPr>
          <w:p>
            <w:pPr>
              <w:jc w:val="center"/>
            </w:pPr>
            <w:r>
              <w:t>0(㎡/人)</w:t>
            </w:r>
          </w:p>
        </w:tc>
        <w:tc>
          <w:tcPr>
            <w:tcW w:w="1132" w:type="dxa"/>
            <w:vAlign w:val="center"/>
          </w:tcPr>
          <w:p>
            <w:pPr>
              <w:jc w:val="center"/>
            </w:pPr>
            <w:r>
              <w:t>6(W/㎡)</w:t>
            </w:r>
          </w:p>
        </w:tc>
        <w:tc>
          <w:tcPr>
            <w:tcW w:w="1132" w:type="dxa"/>
            <w:vAlign w:val="center"/>
          </w:tcPr>
          <w:p>
            <w:pPr>
              <w:jc w:val="center"/>
            </w:pPr>
            <w:r>
              <w:t>20(W/㎡)</w:t>
            </w:r>
          </w:p>
        </w:tc>
      </w:tr>
    </w:tbl>
    <w:p>
      <w:pPr>
        <w:pStyle w:val="4"/>
        <w:widowControl w:val="0"/>
      </w:pPr>
      <w:bookmarkStart w:id="53" w:name="_Toc121251597"/>
      <w:r>
        <w:t>作息时间表</w:t>
      </w:r>
      <w:bookmarkEnd w:id="53"/>
    </w:p>
    <w:p>
      <w:pPr>
        <w:widowControl w:val="0"/>
        <w:jc w:val="both"/>
        <w:rPr>
          <w:color w:val="000000"/>
        </w:rPr>
      </w:pPr>
      <w:r>
        <w:rPr>
          <w:color w:val="000000"/>
        </w:rPr>
        <w:t>详见附录</w:t>
      </w:r>
    </w:p>
    <w:p>
      <w:pPr>
        <w:pStyle w:val="2"/>
        <w:widowControl w:val="0"/>
        <w:jc w:val="both"/>
        <w:rPr>
          <w:color w:val="000000"/>
        </w:rPr>
      </w:pPr>
      <w:bookmarkStart w:id="54" w:name="_Toc121251598"/>
      <w:r>
        <w:rPr>
          <w:color w:val="000000"/>
        </w:rPr>
        <w:t>计算结果</w:t>
      </w:r>
      <w:bookmarkEnd w:id="54"/>
    </w:p>
    <w:p>
      <w:pPr>
        <w:pStyle w:val="4"/>
        <w:widowControl w:val="0"/>
      </w:pPr>
      <w:bookmarkStart w:id="55" w:name="_Toc121251599"/>
      <w:r>
        <w:t>围护结构热工性能对比</w:t>
      </w:r>
      <w:bookmarkEnd w:id="55"/>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12" w:space="0"/>
              <w:bottom w:val="single" w:color="auto" w:sz="6" w:space="0"/>
            </w:tcBorders>
            <w:shd w:val="clear" w:color="auto" w:fill="E6E6E6"/>
            <w:vAlign w:val="center"/>
          </w:tcPr>
          <w:p>
            <w:pPr>
              <w:jc w:val="center"/>
              <w:rPr>
                <w:bCs/>
                <w:szCs w:val="21"/>
              </w:rPr>
            </w:pPr>
          </w:p>
        </w:tc>
        <w:tc>
          <w:tcPr>
            <w:tcW w:w="1587"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bCs/>
                <w:szCs w:val="21"/>
              </w:rPr>
              <w:t>设计建筑</w:t>
            </w:r>
          </w:p>
        </w:tc>
        <w:tc>
          <w:tcPr>
            <w:tcW w:w="1586"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szCs w:val="21"/>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color w:val="FF0000"/>
                <w:szCs w:val="21"/>
              </w:rPr>
            </w:pPr>
            <w:bookmarkStart w:id="56" w:name="屋顶K"/>
            <w:r>
              <w:rPr>
                <w:rFonts w:hint="eastAsia"/>
                <w:bCs/>
                <w:color w:val="FF0000"/>
                <w:szCs w:val="21"/>
              </w:rPr>
              <w:t>0.47</w:t>
            </w:r>
            <w:bookmarkEnd w:id="56"/>
            <w:r>
              <w:rPr>
                <w:rFonts w:hint="eastAsia"/>
                <w:bCs/>
                <w:color w:val="FF0000"/>
                <w:szCs w:val="21"/>
              </w:rPr>
              <w:t>(D:</w:t>
            </w:r>
            <w:bookmarkStart w:id="57" w:name="屋顶D"/>
            <w:r>
              <w:rPr>
                <w:rFonts w:hint="eastAsia"/>
                <w:bCs/>
                <w:color w:val="FF0000"/>
                <w:szCs w:val="21"/>
              </w:rPr>
              <w:t>3.68</w:t>
            </w:r>
            <w:bookmarkEnd w:id="57"/>
            <w:r>
              <w:rPr>
                <w:rFonts w:hint="eastAsia"/>
                <w:bCs/>
                <w:color w:val="FF0000"/>
                <w:szCs w:val="21"/>
              </w:rPr>
              <w:t>)</w:t>
            </w:r>
          </w:p>
        </w:tc>
        <w:tc>
          <w:tcPr>
            <w:tcW w:w="1586" w:type="pct"/>
            <w:gridSpan w:val="3"/>
            <w:tcBorders>
              <w:top w:val="single" w:color="auto" w:sz="6" w:space="0"/>
              <w:bottom w:val="single" w:color="auto" w:sz="6" w:space="0"/>
            </w:tcBorders>
            <w:vAlign w:val="center"/>
          </w:tcPr>
          <w:p>
            <w:pPr>
              <w:jc w:val="center"/>
              <w:rPr>
                <w:szCs w:val="21"/>
              </w:rPr>
            </w:pPr>
            <w:bookmarkStart w:id="58" w:name="参照建筑屋顶K"/>
            <w:r>
              <w:rPr>
                <w:rFonts w:hint="eastAsia"/>
                <w:szCs w:val="21"/>
              </w:rPr>
              <w:t>0.50</w:t>
            </w:r>
            <w:bookmarkEnd w:id="5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color w:val="FF0000"/>
                <w:szCs w:val="21"/>
              </w:rPr>
            </w:pPr>
            <w:bookmarkStart w:id="59" w:name="外墙K"/>
            <w:r>
              <w:rPr>
                <w:rFonts w:hint="eastAsia"/>
                <w:bCs/>
                <w:color w:val="FF0000"/>
                <w:szCs w:val="21"/>
              </w:rPr>
              <w:t>0.40</w:t>
            </w:r>
            <w:bookmarkEnd w:id="59"/>
            <w:r>
              <w:rPr>
                <w:rFonts w:hint="eastAsia"/>
                <w:bCs/>
                <w:color w:val="FF0000"/>
                <w:szCs w:val="21"/>
              </w:rPr>
              <w:t>(D:</w:t>
            </w:r>
            <w:bookmarkStart w:id="60" w:name="外墙D"/>
            <w:r>
              <w:rPr>
                <w:rFonts w:hint="eastAsia"/>
                <w:bCs/>
                <w:color w:val="FF0000"/>
                <w:szCs w:val="21"/>
              </w:rPr>
              <w:t>5.65</w:t>
            </w:r>
            <w:bookmarkEnd w:id="60"/>
            <w:r>
              <w:rPr>
                <w:rFonts w:hint="eastAsia"/>
                <w:bCs/>
                <w:color w:val="FF0000"/>
                <w:szCs w:val="21"/>
              </w:rPr>
              <w:t>)</w:t>
            </w:r>
          </w:p>
        </w:tc>
        <w:tc>
          <w:tcPr>
            <w:tcW w:w="1586" w:type="pct"/>
            <w:gridSpan w:val="3"/>
            <w:tcBorders>
              <w:top w:val="single" w:color="auto" w:sz="6" w:space="0"/>
              <w:bottom w:val="single" w:color="auto" w:sz="6" w:space="0"/>
            </w:tcBorders>
            <w:vAlign w:val="center"/>
          </w:tcPr>
          <w:p>
            <w:pPr>
              <w:jc w:val="center"/>
              <w:rPr>
                <w:color w:val="FF0000"/>
                <w:szCs w:val="21"/>
              </w:rPr>
            </w:pPr>
            <w:bookmarkStart w:id="61" w:name="参照建筑外墙K"/>
            <w:r>
              <w:rPr>
                <w:rFonts w:hint="eastAsia"/>
                <w:szCs w:val="21"/>
              </w:rPr>
              <w:t>0.80</w:t>
            </w:r>
            <w:bookmarkEnd w:id="6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rFonts w:hint="eastAsia"/>
                <w:szCs w:val="21"/>
              </w:rPr>
            </w:pPr>
            <w:bookmarkStart w:id="62" w:name="天窗K"/>
            <w:r>
              <w:rPr>
                <w:rFonts w:hint="eastAsia"/>
                <w:szCs w:val="21"/>
              </w:rPr>
              <w:t>－</w:t>
            </w:r>
            <w:bookmarkEnd w:id="62"/>
          </w:p>
        </w:tc>
        <w:tc>
          <w:tcPr>
            <w:tcW w:w="1586" w:type="pct"/>
            <w:gridSpan w:val="3"/>
            <w:tcBorders>
              <w:top w:val="single" w:color="auto" w:sz="6" w:space="0"/>
              <w:bottom w:val="single" w:color="auto" w:sz="6" w:space="0"/>
            </w:tcBorders>
            <w:vAlign w:val="center"/>
          </w:tcPr>
          <w:p>
            <w:pPr>
              <w:jc w:val="center"/>
              <w:rPr>
                <w:szCs w:val="21"/>
              </w:rPr>
            </w:pPr>
            <w:bookmarkStart w:id="63" w:name="参照建筑天窗K"/>
            <w:r>
              <w:rPr>
                <w:rFonts w:hint="eastAsia"/>
                <w:szCs w:val="21"/>
              </w:rPr>
              <w:t>－</w:t>
            </w:r>
            <w:bookmarkEnd w:id="6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jc w:val="center"/>
              <w:rPr>
                <w:szCs w:val="21"/>
              </w:rPr>
            </w:pPr>
            <w:r>
              <w:rPr>
                <w:rFonts w:hint="eastAsia"/>
                <w:bCs/>
                <w:szCs w:val="21"/>
              </w:rPr>
              <w:t>屋顶透明部分太阳得热系数</w:t>
            </w:r>
          </w:p>
        </w:tc>
        <w:tc>
          <w:tcPr>
            <w:tcW w:w="1587" w:type="pct"/>
            <w:gridSpan w:val="3"/>
            <w:tcBorders>
              <w:top w:val="single" w:color="auto" w:sz="6" w:space="0"/>
              <w:bottom w:val="single" w:color="auto" w:sz="6" w:space="0"/>
            </w:tcBorders>
            <w:vAlign w:val="center"/>
          </w:tcPr>
          <w:p>
            <w:pPr>
              <w:jc w:val="center"/>
              <w:rPr>
                <w:rFonts w:hint="eastAsia"/>
                <w:szCs w:val="21"/>
              </w:rPr>
            </w:pPr>
            <w:bookmarkStart w:id="64" w:name="天窗SHGC"/>
            <w:r>
              <w:rPr>
                <w:rFonts w:hint="eastAsia"/>
                <w:szCs w:val="21"/>
              </w:rPr>
              <w:t>－</w:t>
            </w:r>
            <w:bookmarkEnd w:id="64"/>
          </w:p>
        </w:tc>
        <w:tc>
          <w:tcPr>
            <w:tcW w:w="1586" w:type="pct"/>
            <w:gridSpan w:val="3"/>
            <w:tcBorders>
              <w:top w:val="single" w:color="auto" w:sz="6" w:space="0"/>
              <w:bottom w:val="single" w:color="auto" w:sz="6" w:space="0"/>
            </w:tcBorders>
            <w:vAlign w:val="center"/>
          </w:tcPr>
          <w:p>
            <w:pPr>
              <w:jc w:val="center"/>
              <w:rPr>
                <w:szCs w:val="21"/>
              </w:rPr>
            </w:pPr>
            <w:bookmarkStart w:id="65" w:name="参照建筑天窗SHGC"/>
            <w:r>
              <w:rPr>
                <w:rFonts w:hint="eastAsia"/>
                <w:szCs w:val="21"/>
              </w:rPr>
              <w:t>－</w:t>
            </w:r>
            <w:bookmarkEnd w:id="6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color w:val="FF0000"/>
                <w:szCs w:val="21"/>
              </w:rPr>
            </w:pPr>
            <w:bookmarkStart w:id="66" w:name="挑空楼板K"/>
            <w:r>
              <w:rPr>
                <w:rFonts w:hint="eastAsia"/>
                <w:bCs/>
                <w:color w:val="FF0000"/>
                <w:szCs w:val="21"/>
              </w:rPr>
              <w:t>0.67</w:t>
            </w:r>
            <w:bookmarkEnd w:id="66"/>
          </w:p>
        </w:tc>
        <w:tc>
          <w:tcPr>
            <w:tcW w:w="1586" w:type="pct"/>
            <w:gridSpan w:val="3"/>
            <w:tcBorders>
              <w:top w:val="single" w:color="auto" w:sz="6" w:space="0"/>
              <w:bottom w:val="single" w:color="auto" w:sz="6" w:space="0"/>
            </w:tcBorders>
            <w:vAlign w:val="center"/>
          </w:tcPr>
          <w:p>
            <w:pPr>
              <w:jc w:val="center"/>
              <w:rPr>
                <w:szCs w:val="21"/>
              </w:rPr>
            </w:pPr>
            <w:bookmarkStart w:id="67" w:name="参照建筑挑空楼板K"/>
            <w:r>
              <w:rPr>
                <w:rFonts w:hint="eastAsia"/>
                <w:szCs w:val="21"/>
              </w:rPr>
              <w:t>0.70</w:t>
            </w:r>
            <w:bookmarkEnd w:id="6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rFonts w:hint="eastAsia"/>
                <w:bCs/>
                <w:szCs w:val="21"/>
              </w:rPr>
              <w:t>朝向</w:t>
            </w:r>
          </w:p>
        </w:tc>
        <w:tc>
          <w:tcPr>
            <w:tcW w:w="937" w:type="pct"/>
            <w:tcBorders>
              <w:top w:val="single" w:color="auto" w:sz="6" w:space="0"/>
              <w:left w:val="single" w:color="auto" w:sz="4" w:space="0"/>
              <w:bottom w:val="single" w:color="auto" w:sz="6" w:space="0"/>
            </w:tcBorders>
            <w:shd w:val="clear" w:color="auto" w:fill="E6E6E6"/>
            <w:vAlign w:val="center"/>
          </w:tcPr>
          <w:p>
            <w:pPr>
              <w:jc w:val="center"/>
              <w:rPr>
                <w:bCs/>
                <w:szCs w:val="21"/>
              </w:rPr>
            </w:pPr>
            <w:r>
              <w:rPr>
                <w:rFonts w:hint="eastAsia"/>
                <w:bCs/>
                <w:szCs w:val="21"/>
              </w:rPr>
              <w:t>立面</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85"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c>
          <w:tcPr>
            <w:tcW w:w="582"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03"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bCs/>
                <w:szCs w:val="21"/>
              </w:rPr>
            </w:pPr>
            <w:bookmarkStart w:id="68" w:name="多立面－计算条件表－8－2－朝向立面窗墙比KSHGC参照"/>
            <w:r>
              <w:rPr>
                <w:rFonts w:hint="eastAsia" w:hAnsi="宋体"/>
                <w:bCs/>
                <w:szCs w:val="21"/>
              </w:rPr>
              <w:t>南向</w:t>
            </w:r>
            <w:bookmarkEnd w:id="68"/>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bCs/>
                <w:szCs w:val="21"/>
              </w:rPr>
            </w:pPr>
            <w:r>
              <w:rPr>
                <w:rFonts w:hAnsi="宋体"/>
                <w:bCs/>
                <w:szCs w:val="21"/>
              </w:rPr>
              <w:t>南-默认立面</w:t>
            </w:r>
          </w:p>
        </w:tc>
        <w:tc>
          <w:tcPr>
            <w:tcW w:w="501" w:type="pct"/>
            <w:tcBorders>
              <w:top w:val="single" w:color="auto" w:sz="6" w:space="0"/>
              <w:bottom w:val="single" w:color="auto" w:sz="6" w:space="0"/>
            </w:tcBorders>
            <w:vAlign w:val="center"/>
          </w:tcPr>
          <w:p>
            <w:pPr>
              <w:jc w:val="center"/>
              <w:rPr>
                <w:bCs/>
                <w:szCs w:val="21"/>
              </w:rPr>
            </w:pPr>
            <w:r>
              <w:rPr>
                <w:bCs/>
                <w:szCs w:val="21"/>
              </w:rPr>
              <w:t>0.23</w:t>
            </w:r>
          </w:p>
        </w:tc>
        <w:tc>
          <w:tcPr>
            <w:tcW w:w="501" w:type="pct"/>
            <w:tcBorders>
              <w:top w:val="single" w:color="auto" w:sz="6" w:space="0"/>
              <w:bottom w:val="single" w:color="auto" w:sz="6" w:space="0"/>
            </w:tcBorders>
            <w:vAlign w:val="center"/>
          </w:tcPr>
          <w:p>
            <w:pPr>
              <w:jc w:val="center"/>
              <w:rPr>
                <w:bCs/>
                <w:szCs w:val="21"/>
              </w:rPr>
            </w:pPr>
            <w:r>
              <w:rPr>
                <w:bCs/>
                <w:szCs w:val="21"/>
              </w:rPr>
              <w:t>3.90</w:t>
            </w:r>
          </w:p>
        </w:tc>
        <w:tc>
          <w:tcPr>
            <w:tcW w:w="585" w:type="pct"/>
            <w:tcBorders>
              <w:top w:val="single" w:color="auto" w:sz="6" w:space="0"/>
              <w:bottom w:val="single" w:color="auto" w:sz="6" w:space="0"/>
            </w:tcBorders>
            <w:vAlign w:val="center"/>
          </w:tcPr>
          <w:p>
            <w:pPr>
              <w:jc w:val="center"/>
              <w:rPr>
                <w:bCs/>
                <w:szCs w:val="21"/>
              </w:rPr>
            </w:pPr>
            <w:r>
              <w:rPr>
                <w:bCs/>
                <w:szCs w:val="21"/>
              </w:rPr>
              <w:t>0.58</w:t>
            </w:r>
          </w:p>
        </w:tc>
        <w:tc>
          <w:tcPr>
            <w:tcW w:w="582" w:type="pct"/>
            <w:tcBorders>
              <w:top w:val="single" w:color="auto" w:sz="6" w:space="0"/>
              <w:bottom w:val="single" w:color="auto" w:sz="6" w:space="0"/>
            </w:tcBorders>
            <w:vAlign w:val="center"/>
          </w:tcPr>
          <w:p>
            <w:pPr>
              <w:jc w:val="center"/>
              <w:rPr>
                <w:bCs/>
                <w:szCs w:val="21"/>
              </w:rPr>
            </w:pPr>
            <w:r>
              <w:rPr>
                <w:bCs/>
                <w:szCs w:val="21"/>
              </w:rPr>
              <w:t>0.23</w:t>
            </w:r>
          </w:p>
        </w:tc>
        <w:tc>
          <w:tcPr>
            <w:tcW w:w="501" w:type="pct"/>
            <w:tcBorders>
              <w:top w:val="single" w:color="auto" w:sz="6" w:space="0"/>
              <w:bottom w:val="single" w:color="auto" w:sz="6" w:space="0"/>
            </w:tcBorders>
            <w:vAlign w:val="center"/>
          </w:tcPr>
          <w:p>
            <w:pPr>
              <w:jc w:val="center"/>
              <w:rPr>
                <w:bCs/>
                <w:szCs w:val="21"/>
              </w:rPr>
            </w:pPr>
            <w:r>
              <w:rPr>
                <w:bCs/>
                <w:szCs w:val="21"/>
              </w:rPr>
              <w:t>3.00</w:t>
            </w:r>
          </w:p>
        </w:tc>
        <w:tc>
          <w:tcPr>
            <w:tcW w:w="503" w:type="pct"/>
            <w:tcBorders>
              <w:top w:val="single" w:color="auto" w:sz="6" w:space="0"/>
              <w:bottom w:val="single" w:color="auto" w:sz="6" w:space="0"/>
            </w:tcBorders>
            <w:vAlign w:val="center"/>
          </w:tcPr>
          <w:p>
            <w:pPr>
              <w:jc w:val="center"/>
              <w:rPr>
                <w:bCs/>
                <w:szCs w:val="21"/>
              </w:rPr>
            </w:pPr>
            <w:r>
              <w:rPr>
                <w:bCs/>
                <w:szCs w:val="21"/>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北-默认立面</w:t>
            </w:r>
          </w:p>
        </w:tc>
        <w:tc>
          <w:tcPr>
            <w:tcW w:w="501" w:type="pct"/>
            <w:tcBorders>
              <w:top w:val="single" w:color="auto" w:sz="6" w:space="0"/>
              <w:bottom w:val="single" w:color="auto" w:sz="6" w:space="0"/>
            </w:tcBorders>
            <w:vAlign w:val="center"/>
          </w:tcPr>
          <w:p>
            <w:pPr>
              <w:jc w:val="center"/>
              <w:rPr>
                <w:bCs/>
                <w:szCs w:val="21"/>
              </w:rPr>
            </w:pPr>
            <w:r>
              <w:rPr>
                <w:bCs/>
                <w:szCs w:val="21"/>
              </w:rPr>
              <w:t>0.16</w:t>
            </w:r>
          </w:p>
        </w:tc>
        <w:tc>
          <w:tcPr>
            <w:tcW w:w="501" w:type="pct"/>
            <w:tcBorders>
              <w:top w:val="single" w:color="auto" w:sz="6" w:space="0"/>
              <w:bottom w:val="single" w:color="auto" w:sz="6" w:space="0"/>
            </w:tcBorders>
            <w:vAlign w:val="center"/>
          </w:tcPr>
          <w:p>
            <w:pPr>
              <w:jc w:val="center"/>
              <w:rPr>
                <w:bCs/>
                <w:szCs w:val="21"/>
              </w:rPr>
            </w:pPr>
            <w:r>
              <w:rPr>
                <w:bCs/>
                <w:szCs w:val="21"/>
              </w:rPr>
              <w:t>3.90</w:t>
            </w:r>
          </w:p>
        </w:tc>
        <w:tc>
          <w:tcPr>
            <w:tcW w:w="585" w:type="pct"/>
            <w:tcBorders>
              <w:top w:val="single" w:color="auto" w:sz="6" w:space="0"/>
              <w:bottom w:val="single" w:color="auto" w:sz="6" w:space="0"/>
            </w:tcBorders>
            <w:vAlign w:val="center"/>
          </w:tcPr>
          <w:p>
            <w:pPr>
              <w:jc w:val="center"/>
              <w:rPr>
                <w:bCs/>
                <w:szCs w:val="21"/>
              </w:rPr>
            </w:pPr>
            <w:r>
              <w:rPr>
                <w:bCs/>
                <w:szCs w:val="21"/>
              </w:rPr>
              <w:t>0.65</w:t>
            </w:r>
          </w:p>
        </w:tc>
        <w:tc>
          <w:tcPr>
            <w:tcW w:w="582" w:type="pct"/>
            <w:tcBorders>
              <w:top w:val="single" w:color="auto" w:sz="6" w:space="0"/>
              <w:bottom w:val="single" w:color="auto" w:sz="6" w:space="0"/>
            </w:tcBorders>
            <w:vAlign w:val="center"/>
          </w:tcPr>
          <w:p>
            <w:pPr>
              <w:jc w:val="center"/>
              <w:rPr>
                <w:bCs/>
                <w:szCs w:val="21"/>
              </w:rPr>
            </w:pPr>
            <w:r>
              <w:rPr>
                <w:bCs/>
                <w:szCs w:val="21"/>
              </w:rPr>
              <w:t>0.16</w:t>
            </w:r>
          </w:p>
        </w:tc>
        <w:tc>
          <w:tcPr>
            <w:tcW w:w="501" w:type="pct"/>
            <w:tcBorders>
              <w:top w:val="single" w:color="auto" w:sz="6" w:space="0"/>
              <w:bottom w:val="single" w:color="auto" w:sz="6" w:space="0"/>
            </w:tcBorders>
            <w:vAlign w:val="center"/>
          </w:tcPr>
          <w:p>
            <w:pPr>
              <w:jc w:val="center"/>
              <w:rPr>
                <w:bCs/>
                <w:szCs w:val="21"/>
              </w:rPr>
            </w:pPr>
            <w:r>
              <w:rPr>
                <w:bCs/>
                <w:szCs w:val="21"/>
              </w:rPr>
              <w:t>3.50</w:t>
            </w:r>
          </w:p>
        </w:tc>
        <w:tc>
          <w:tcPr>
            <w:tcW w:w="503" w:type="pct"/>
            <w:tcBorders>
              <w:top w:val="single" w:color="auto" w:sz="6" w:space="0"/>
              <w:bottom w:val="single" w:color="auto" w:sz="6"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东-默认立面</w:t>
            </w:r>
          </w:p>
        </w:tc>
        <w:tc>
          <w:tcPr>
            <w:tcW w:w="501" w:type="pct"/>
            <w:tcBorders>
              <w:top w:val="single" w:color="auto" w:sz="6" w:space="0"/>
              <w:bottom w:val="single" w:color="auto" w:sz="6" w:space="0"/>
            </w:tcBorders>
            <w:vAlign w:val="center"/>
          </w:tcPr>
          <w:p>
            <w:pPr>
              <w:jc w:val="center"/>
              <w:rPr>
                <w:bCs/>
                <w:szCs w:val="21"/>
              </w:rPr>
            </w:pPr>
            <w:r>
              <w:rPr>
                <w:bCs/>
                <w:szCs w:val="21"/>
              </w:rPr>
              <w:t>0.16</w:t>
            </w:r>
          </w:p>
        </w:tc>
        <w:tc>
          <w:tcPr>
            <w:tcW w:w="501" w:type="pct"/>
            <w:tcBorders>
              <w:top w:val="single" w:color="auto" w:sz="6" w:space="0"/>
              <w:bottom w:val="single" w:color="auto" w:sz="6" w:space="0"/>
            </w:tcBorders>
            <w:vAlign w:val="center"/>
          </w:tcPr>
          <w:p>
            <w:pPr>
              <w:jc w:val="center"/>
              <w:rPr>
                <w:bCs/>
                <w:szCs w:val="21"/>
              </w:rPr>
            </w:pPr>
            <w:r>
              <w:rPr>
                <w:bCs/>
                <w:szCs w:val="21"/>
              </w:rPr>
              <w:t>3.90</w:t>
            </w:r>
          </w:p>
        </w:tc>
        <w:tc>
          <w:tcPr>
            <w:tcW w:w="585" w:type="pct"/>
            <w:tcBorders>
              <w:top w:val="single" w:color="auto" w:sz="6" w:space="0"/>
              <w:bottom w:val="single" w:color="auto" w:sz="6" w:space="0"/>
            </w:tcBorders>
            <w:vAlign w:val="center"/>
          </w:tcPr>
          <w:p>
            <w:pPr>
              <w:jc w:val="center"/>
              <w:rPr>
                <w:bCs/>
                <w:szCs w:val="21"/>
              </w:rPr>
            </w:pPr>
            <w:r>
              <w:rPr>
                <w:bCs/>
                <w:szCs w:val="21"/>
              </w:rPr>
              <w:t>0.58</w:t>
            </w:r>
          </w:p>
        </w:tc>
        <w:tc>
          <w:tcPr>
            <w:tcW w:w="582" w:type="pct"/>
            <w:tcBorders>
              <w:top w:val="single" w:color="auto" w:sz="6" w:space="0"/>
              <w:bottom w:val="single" w:color="auto" w:sz="6" w:space="0"/>
            </w:tcBorders>
            <w:vAlign w:val="center"/>
          </w:tcPr>
          <w:p>
            <w:pPr>
              <w:jc w:val="center"/>
              <w:rPr>
                <w:bCs/>
                <w:szCs w:val="21"/>
              </w:rPr>
            </w:pPr>
            <w:r>
              <w:rPr>
                <w:bCs/>
                <w:szCs w:val="21"/>
              </w:rPr>
              <w:t>0.16</w:t>
            </w:r>
          </w:p>
        </w:tc>
        <w:tc>
          <w:tcPr>
            <w:tcW w:w="501" w:type="pct"/>
            <w:tcBorders>
              <w:top w:val="single" w:color="auto" w:sz="6" w:space="0"/>
              <w:bottom w:val="single" w:color="auto" w:sz="6" w:space="0"/>
            </w:tcBorders>
            <w:vAlign w:val="center"/>
          </w:tcPr>
          <w:p>
            <w:pPr>
              <w:jc w:val="center"/>
              <w:rPr>
                <w:bCs/>
                <w:szCs w:val="21"/>
              </w:rPr>
            </w:pPr>
            <w:r>
              <w:rPr>
                <w:bCs/>
                <w:szCs w:val="21"/>
              </w:rPr>
              <w:t>3.50</w:t>
            </w:r>
          </w:p>
        </w:tc>
        <w:tc>
          <w:tcPr>
            <w:tcW w:w="503" w:type="pct"/>
            <w:tcBorders>
              <w:top w:val="single" w:color="auto" w:sz="6" w:space="0"/>
              <w:bottom w:val="single" w:color="auto" w:sz="6"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bCs/>
                <w:szCs w:val="21"/>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bCs/>
                <w:szCs w:val="21"/>
              </w:rPr>
            </w:pPr>
            <w:r>
              <w:rPr>
                <w:bCs/>
                <w:szCs w:val="21"/>
              </w:rPr>
              <w:t>西向</w:t>
            </w:r>
          </w:p>
        </w:tc>
        <w:tc>
          <w:tcPr>
            <w:tcW w:w="937" w:type="pct"/>
            <w:tcBorders>
              <w:top w:val="single" w:color="auto" w:sz="6" w:space="0"/>
              <w:left w:val="single" w:color="auto" w:sz="4" w:space="0"/>
              <w:bottom w:val="single" w:color="auto" w:sz="12" w:space="0"/>
            </w:tcBorders>
            <w:shd w:val="clear" w:color="auto" w:fill="auto"/>
            <w:vAlign w:val="center"/>
          </w:tcPr>
          <w:p>
            <w:pPr>
              <w:jc w:val="center"/>
              <w:rPr>
                <w:bCs/>
                <w:szCs w:val="21"/>
              </w:rPr>
            </w:pPr>
            <w:r>
              <w:rPr>
                <w:bCs/>
                <w:szCs w:val="21"/>
              </w:rPr>
              <w:t>西-默认立面</w:t>
            </w:r>
          </w:p>
        </w:tc>
        <w:tc>
          <w:tcPr>
            <w:tcW w:w="501" w:type="pct"/>
            <w:tcBorders>
              <w:top w:val="single" w:color="auto" w:sz="6" w:space="0"/>
              <w:bottom w:val="single" w:color="auto" w:sz="12" w:space="0"/>
            </w:tcBorders>
            <w:vAlign w:val="center"/>
          </w:tcPr>
          <w:p>
            <w:pPr>
              <w:jc w:val="center"/>
              <w:rPr>
                <w:bCs/>
                <w:szCs w:val="21"/>
              </w:rPr>
            </w:pPr>
            <w:r>
              <w:rPr>
                <w:bCs/>
                <w:szCs w:val="21"/>
              </w:rPr>
              <w:t>0.23</w:t>
            </w:r>
          </w:p>
        </w:tc>
        <w:tc>
          <w:tcPr>
            <w:tcW w:w="501" w:type="pct"/>
            <w:tcBorders>
              <w:top w:val="single" w:color="auto" w:sz="6" w:space="0"/>
              <w:bottom w:val="single" w:color="auto" w:sz="12" w:space="0"/>
            </w:tcBorders>
            <w:vAlign w:val="center"/>
          </w:tcPr>
          <w:p>
            <w:pPr>
              <w:jc w:val="center"/>
              <w:rPr>
                <w:bCs/>
                <w:szCs w:val="21"/>
              </w:rPr>
            </w:pPr>
            <w:r>
              <w:rPr>
                <w:bCs/>
                <w:szCs w:val="21"/>
              </w:rPr>
              <w:t>3.90</w:t>
            </w:r>
          </w:p>
        </w:tc>
        <w:tc>
          <w:tcPr>
            <w:tcW w:w="585" w:type="pct"/>
            <w:tcBorders>
              <w:top w:val="single" w:color="auto" w:sz="6" w:space="0"/>
              <w:bottom w:val="single" w:color="auto" w:sz="12" w:space="0"/>
            </w:tcBorders>
            <w:vAlign w:val="center"/>
          </w:tcPr>
          <w:p>
            <w:pPr>
              <w:jc w:val="center"/>
              <w:rPr>
                <w:bCs/>
                <w:szCs w:val="21"/>
              </w:rPr>
            </w:pPr>
            <w:r>
              <w:rPr>
                <w:bCs/>
                <w:szCs w:val="21"/>
              </w:rPr>
              <w:t>0.60</w:t>
            </w:r>
          </w:p>
        </w:tc>
        <w:tc>
          <w:tcPr>
            <w:tcW w:w="582" w:type="pct"/>
            <w:tcBorders>
              <w:top w:val="single" w:color="auto" w:sz="6" w:space="0"/>
              <w:bottom w:val="single" w:color="auto" w:sz="12" w:space="0"/>
            </w:tcBorders>
            <w:vAlign w:val="center"/>
          </w:tcPr>
          <w:p>
            <w:pPr>
              <w:jc w:val="center"/>
              <w:rPr>
                <w:bCs/>
                <w:szCs w:val="21"/>
              </w:rPr>
            </w:pPr>
            <w:r>
              <w:rPr>
                <w:bCs/>
                <w:szCs w:val="21"/>
              </w:rPr>
              <w:t>0.23</w:t>
            </w:r>
          </w:p>
        </w:tc>
        <w:tc>
          <w:tcPr>
            <w:tcW w:w="501" w:type="pct"/>
            <w:tcBorders>
              <w:top w:val="single" w:color="auto" w:sz="6" w:space="0"/>
              <w:bottom w:val="single" w:color="auto" w:sz="12" w:space="0"/>
            </w:tcBorders>
            <w:vAlign w:val="center"/>
          </w:tcPr>
          <w:p>
            <w:pPr>
              <w:jc w:val="center"/>
              <w:rPr>
                <w:bCs/>
                <w:szCs w:val="21"/>
              </w:rPr>
            </w:pPr>
            <w:r>
              <w:rPr>
                <w:bCs/>
                <w:szCs w:val="21"/>
              </w:rPr>
              <w:t>3.00</w:t>
            </w:r>
          </w:p>
        </w:tc>
        <w:tc>
          <w:tcPr>
            <w:tcW w:w="503" w:type="pct"/>
            <w:tcBorders>
              <w:top w:val="single" w:color="auto" w:sz="6" w:space="0"/>
              <w:bottom w:val="single" w:color="auto" w:sz="12" w:space="0"/>
            </w:tcBorders>
            <w:vAlign w:val="center"/>
          </w:tcPr>
          <w:p>
            <w:pPr>
              <w:jc w:val="center"/>
              <w:rPr>
                <w:bCs/>
                <w:szCs w:val="21"/>
              </w:rPr>
            </w:pPr>
            <w:r>
              <w:rPr>
                <w:bCs/>
                <w:szCs w:val="21"/>
              </w:rPr>
              <w:t>0.44</w:t>
            </w:r>
          </w:p>
        </w:tc>
      </w:tr>
    </w:tbl>
    <w:p>
      <w:pPr>
        <w:widowControl w:val="0"/>
        <w:jc w:val="both"/>
        <w:rPr>
          <w:color w:val="000000"/>
        </w:rPr>
      </w:pPr>
      <w:r>
        <w:rPr>
          <w:color w:val="000000"/>
        </w:rPr>
        <w:t>备注：1. — 代表本工程无对应项; 2. ——代表参照建筑不要求，取值同设计建筑。</w:t>
      </w:r>
    </w:p>
    <w:p>
      <w:pPr>
        <w:pStyle w:val="4"/>
        <w:widowControl w:val="0"/>
      </w:pPr>
      <w:bookmarkStart w:id="69" w:name="_Toc121251600"/>
      <w:r>
        <w:t>负荷分项统计</w:t>
      </w:r>
      <w:bookmarkEnd w:id="6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-31.01</w:t>
            </w:r>
          </w:p>
        </w:tc>
        <w:tc>
          <w:tcPr>
            <w:tcW w:w="1273" w:type="dxa"/>
            <w:vAlign w:val="center"/>
          </w:tcPr>
          <w:p>
            <w:r>
              <w:t>15.06</w:t>
            </w:r>
          </w:p>
        </w:tc>
        <w:tc>
          <w:tcPr>
            <w:tcW w:w="1131" w:type="dxa"/>
            <w:vAlign w:val="center"/>
          </w:tcPr>
          <w:p>
            <w:r>
              <w:t>2.50</w:t>
            </w:r>
          </w:p>
        </w:tc>
        <w:tc>
          <w:tcPr>
            <w:tcW w:w="1131" w:type="dxa"/>
            <w:vAlign w:val="center"/>
          </w:tcPr>
          <w:p>
            <w:r>
              <w:t>-13.37</w:t>
            </w:r>
          </w:p>
        </w:tc>
        <w:tc>
          <w:tcPr>
            <w:tcW w:w="1131" w:type="dxa"/>
            <w:vAlign w:val="center"/>
          </w:tcPr>
          <w:p>
            <w:r>
              <w:t>0.00</w:t>
            </w:r>
          </w:p>
        </w:tc>
        <w:tc>
          <w:tcPr>
            <w:tcW w:w="1415" w:type="dxa"/>
            <w:vAlign w:val="center"/>
          </w:tcPr>
          <w:p>
            <w:r>
              <w:t>-26.81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1.45</w:t>
            </w:r>
          </w:p>
        </w:tc>
        <w:tc>
          <w:tcPr>
            <w:tcW w:w="1273" w:type="dxa"/>
            <w:vAlign w:val="center"/>
          </w:tcPr>
          <w:p>
            <w:r>
              <w:t>21.53</w:t>
            </w:r>
          </w:p>
        </w:tc>
        <w:tc>
          <w:tcPr>
            <w:tcW w:w="1131" w:type="dxa"/>
            <w:vAlign w:val="center"/>
          </w:tcPr>
          <w:p>
            <w:r>
              <w:t>5.68</w:t>
            </w:r>
          </w:p>
        </w:tc>
        <w:tc>
          <w:tcPr>
            <w:tcW w:w="1131" w:type="dxa"/>
            <w:vAlign w:val="center"/>
          </w:tcPr>
          <w:p>
            <w:r>
              <w:t>17.89</w:t>
            </w:r>
          </w:p>
        </w:tc>
        <w:tc>
          <w:tcPr>
            <w:tcW w:w="1131" w:type="dxa"/>
            <w:vAlign w:val="center"/>
          </w:tcPr>
          <w:p>
            <w:r>
              <w:t>0.00</w:t>
            </w:r>
          </w:p>
        </w:tc>
        <w:tc>
          <w:tcPr>
            <w:tcW w:w="1415" w:type="dxa"/>
            <w:vAlign w:val="center"/>
          </w:tcPr>
          <w:p>
            <w:r>
              <w:t>46.54</w:t>
            </w:r>
          </w:p>
        </w:tc>
      </w:tr>
    </w:tbl>
    <w:p>
      <w:r>
        <w:drawing>
          <wp:inline distT="0" distB="0" distL="0" distR="0">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p>
      <w:pPr>
        <w:widowControl w:val="0"/>
        <w:jc w:val="both"/>
        <w:rPr>
          <w:color w:val="000000"/>
        </w:rPr>
      </w:pPr>
      <w:r>
        <w:drawing>
          <wp:inline distT="0" distB="0" distL="0" distR="0">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933700"/>
                    </a:xfrm>
                    <a:prstGeom prst="rect">
                      <a:avLst/>
                    </a:prstGeom>
                  </pic:spPr>
                </pic:pic>
              </a:graphicData>
            </a:graphic>
          </wp:inline>
        </w:drawing>
      </w:r>
    </w:p>
    <w:p>
      <w:pPr>
        <w:pStyle w:val="4"/>
        <w:widowControl w:val="0"/>
      </w:pPr>
      <w:bookmarkStart w:id="70" w:name="_Toc121251601"/>
      <w:r>
        <w:t>逐月负荷表</w:t>
      </w:r>
      <w:bookmarkEnd w:id="7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26374</w:t>
            </w:r>
          </w:p>
        </w:tc>
        <w:tc>
          <w:tcPr>
            <w:tcW w:w="1188" w:type="dxa"/>
            <w:vAlign w:val="center"/>
          </w:tcPr>
          <w:p>
            <w:pPr>
              <w:jc w:val="right"/>
            </w:pPr>
            <w:r>
              <w:t>0</w:t>
            </w:r>
          </w:p>
        </w:tc>
        <w:tc>
          <w:tcPr>
            <w:tcW w:w="1188" w:type="dxa"/>
            <w:vAlign w:val="center"/>
          </w:tcPr>
          <w:p>
            <w:pPr>
              <w:jc w:val="right"/>
            </w:pPr>
            <w:r>
              <w:rPr>
                <w:color w:val="FF0000"/>
              </w:rPr>
              <w:t>176.403</w:t>
            </w:r>
          </w:p>
        </w:tc>
        <w:tc>
          <w:tcPr>
            <w:tcW w:w="1862" w:type="dxa"/>
            <w:vAlign w:val="center"/>
          </w:tcPr>
          <w:p>
            <w:r>
              <w:rPr>
                <w:color w:val="FF0000"/>
              </w:rPr>
              <w:t>01月02日07时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18678</w:t>
            </w:r>
          </w:p>
        </w:tc>
        <w:tc>
          <w:tcPr>
            <w:tcW w:w="1188" w:type="dxa"/>
            <w:vAlign w:val="center"/>
          </w:tcPr>
          <w:p>
            <w:pPr>
              <w:jc w:val="right"/>
            </w:pPr>
            <w:r>
              <w:t>0</w:t>
            </w:r>
          </w:p>
        </w:tc>
        <w:tc>
          <w:tcPr>
            <w:tcW w:w="1188" w:type="dxa"/>
            <w:vAlign w:val="center"/>
          </w:tcPr>
          <w:p>
            <w:pPr>
              <w:jc w:val="right"/>
            </w:pPr>
            <w:r>
              <w:t>146.937</w:t>
            </w:r>
          </w:p>
        </w:tc>
        <w:tc>
          <w:tcPr>
            <w:tcW w:w="1862" w:type="dxa"/>
            <w:vAlign w:val="center"/>
          </w:tcPr>
          <w:p>
            <w:r>
              <w:t>02月04日07时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9618</w:t>
            </w:r>
          </w:p>
        </w:tc>
        <w:tc>
          <w:tcPr>
            <w:tcW w:w="1188" w:type="dxa"/>
            <w:vAlign w:val="center"/>
          </w:tcPr>
          <w:p>
            <w:pPr>
              <w:jc w:val="right"/>
            </w:pPr>
            <w:r>
              <w:t>222</w:t>
            </w:r>
          </w:p>
        </w:tc>
        <w:tc>
          <w:tcPr>
            <w:tcW w:w="1188" w:type="dxa"/>
            <w:vAlign w:val="center"/>
          </w:tcPr>
          <w:p>
            <w:pPr>
              <w:jc w:val="right"/>
            </w:pPr>
            <w:r>
              <w:t>130.291</w:t>
            </w:r>
          </w:p>
        </w:tc>
        <w:tc>
          <w:tcPr>
            <w:tcW w:w="1862" w:type="dxa"/>
            <w:vAlign w:val="center"/>
          </w:tcPr>
          <w:p>
            <w:r>
              <w:t>03月01日07时</w:t>
            </w:r>
          </w:p>
        </w:tc>
        <w:tc>
          <w:tcPr>
            <w:tcW w:w="1188" w:type="dxa"/>
            <w:vAlign w:val="center"/>
          </w:tcPr>
          <w:p>
            <w:pPr>
              <w:jc w:val="right"/>
            </w:pPr>
            <w:r>
              <w:t>31.249</w:t>
            </w:r>
          </w:p>
        </w:tc>
        <w:tc>
          <w:tcPr>
            <w:tcW w:w="1862" w:type="dxa"/>
            <w:vAlign w:val="center"/>
          </w:tcPr>
          <w:p>
            <w:r>
              <w:t>03月31日17时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1457</w:t>
            </w:r>
          </w:p>
        </w:tc>
        <w:tc>
          <w:tcPr>
            <w:tcW w:w="1188" w:type="dxa"/>
            <w:vAlign w:val="center"/>
          </w:tcPr>
          <w:p>
            <w:pPr>
              <w:jc w:val="right"/>
            </w:pPr>
            <w:r>
              <w:t>497</w:t>
            </w:r>
          </w:p>
        </w:tc>
        <w:tc>
          <w:tcPr>
            <w:tcW w:w="1188" w:type="dxa"/>
            <w:vAlign w:val="center"/>
          </w:tcPr>
          <w:p>
            <w:pPr>
              <w:jc w:val="right"/>
            </w:pPr>
            <w:r>
              <w:t>65.051</w:t>
            </w:r>
          </w:p>
        </w:tc>
        <w:tc>
          <w:tcPr>
            <w:tcW w:w="1862" w:type="dxa"/>
            <w:vAlign w:val="center"/>
          </w:tcPr>
          <w:p>
            <w:r>
              <w:t>04月04日07时</w:t>
            </w:r>
          </w:p>
        </w:tc>
        <w:tc>
          <w:tcPr>
            <w:tcW w:w="1188" w:type="dxa"/>
            <w:vAlign w:val="center"/>
          </w:tcPr>
          <w:p>
            <w:pPr>
              <w:jc w:val="right"/>
            </w:pPr>
            <w:r>
              <w:t>29.584</w:t>
            </w:r>
          </w:p>
        </w:tc>
        <w:tc>
          <w:tcPr>
            <w:tcW w:w="1862" w:type="dxa"/>
            <w:vAlign w:val="center"/>
          </w:tcPr>
          <w:p>
            <w:r>
              <w:t>04月30日17时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2</w:t>
            </w:r>
          </w:p>
        </w:tc>
        <w:tc>
          <w:tcPr>
            <w:tcW w:w="1188" w:type="dxa"/>
            <w:vAlign w:val="center"/>
          </w:tcPr>
          <w:p>
            <w:pPr>
              <w:jc w:val="right"/>
            </w:pPr>
            <w:r>
              <w:t>12257</w:t>
            </w:r>
          </w:p>
        </w:tc>
        <w:tc>
          <w:tcPr>
            <w:tcW w:w="1188" w:type="dxa"/>
            <w:vAlign w:val="center"/>
          </w:tcPr>
          <w:p>
            <w:pPr>
              <w:jc w:val="right"/>
            </w:pPr>
            <w:r>
              <w:t>0.530</w:t>
            </w:r>
          </w:p>
        </w:tc>
        <w:tc>
          <w:tcPr>
            <w:tcW w:w="1862" w:type="dxa"/>
            <w:vAlign w:val="center"/>
          </w:tcPr>
          <w:p>
            <w:r>
              <w:t>05月06日07时</w:t>
            </w:r>
          </w:p>
        </w:tc>
        <w:tc>
          <w:tcPr>
            <w:tcW w:w="1188" w:type="dxa"/>
            <w:vAlign w:val="center"/>
          </w:tcPr>
          <w:p>
            <w:pPr>
              <w:jc w:val="right"/>
            </w:pPr>
            <w:r>
              <w:t>97.703</w:t>
            </w:r>
          </w:p>
        </w:tc>
        <w:tc>
          <w:tcPr>
            <w:tcW w:w="1862" w:type="dxa"/>
            <w:vAlign w:val="center"/>
          </w:tcPr>
          <w:p>
            <w:r>
              <w:t>05月31日15时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25016</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146.744</w:t>
            </w:r>
          </w:p>
        </w:tc>
        <w:tc>
          <w:tcPr>
            <w:tcW w:w="1862" w:type="dxa"/>
            <w:vAlign w:val="center"/>
          </w:tcPr>
          <w:p>
            <w:r>
              <w:t>06月14日15时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41747</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189.106</w:t>
            </w:r>
          </w:p>
        </w:tc>
        <w:tc>
          <w:tcPr>
            <w:tcW w:w="1862" w:type="dxa"/>
            <w:vAlign w:val="center"/>
          </w:tcPr>
          <w:p>
            <w:r>
              <w:rPr>
                <w:color w:val="0000FF"/>
              </w:rPr>
              <w:t>07月23日14时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39539</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171.243</w:t>
            </w:r>
          </w:p>
        </w:tc>
        <w:tc>
          <w:tcPr>
            <w:tcW w:w="1862" w:type="dxa"/>
            <w:vAlign w:val="center"/>
          </w:tcPr>
          <w:p>
            <w:r>
              <w:t>08月22日14时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17366</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132.102</w:t>
            </w:r>
          </w:p>
        </w:tc>
        <w:tc>
          <w:tcPr>
            <w:tcW w:w="1862" w:type="dxa"/>
            <w:vAlign w:val="center"/>
          </w:tcPr>
          <w:p>
            <w:r>
              <w:t>09月13日15时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1</w:t>
            </w:r>
          </w:p>
        </w:tc>
        <w:tc>
          <w:tcPr>
            <w:tcW w:w="1188" w:type="dxa"/>
            <w:vAlign w:val="center"/>
          </w:tcPr>
          <w:p>
            <w:pPr>
              <w:jc w:val="right"/>
            </w:pPr>
            <w:r>
              <w:t>1806</w:t>
            </w:r>
          </w:p>
        </w:tc>
        <w:tc>
          <w:tcPr>
            <w:tcW w:w="1188" w:type="dxa"/>
            <w:vAlign w:val="center"/>
          </w:tcPr>
          <w:p>
            <w:pPr>
              <w:jc w:val="right"/>
            </w:pPr>
            <w:r>
              <w:t>0.952</w:t>
            </w:r>
          </w:p>
        </w:tc>
        <w:tc>
          <w:tcPr>
            <w:tcW w:w="1862" w:type="dxa"/>
            <w:vAlign w:val="center"/>
          </w:tcPr>
          <w:p>
            <w:r>
              <w:t>10月23日07时</w:t>
            </w:r>
          </w:p>
        </w:tc>
        <w:tc>
          <w:tcPr>
            <w:tcW w:w="1188" w:type="dxa"/>
            <w:vAlign w:val="center"/>
          </w:tcPr>
          <w:p>
            <w:pPr>
              <w:jc w:val="right"/>
            </w:pPr>
            <w:r>
              <w:t>65.054</w:t>
            </w:r>
          </w:p>
        </w:tc>
        <w:tc>
          <w:tcPr>
            <w:tcW w:w="1862" w:type="dxa"/>
            <w:vAlign w:val="center"/>
          </w:tcPr>
          <w:p>
            <w:r>
              <w:t>10月14日15时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2470</w:t>
            </w:r>
          </w:p>
        </w:tc>
        <w:tc>
          <w:tcPr>
            <w:tcW w:w="1188" w:type="dxa"/>
            <w:vAlign w:val="center"/>
          </w:tcPr>
          <w:p>
            <w:pPr>
              <w:jc w:val="right"/>
            </w:pPr>
            <w:r>
              <w:t>0</w:t>
            </w:r>
          </w:p>
        </w:tc>
        <w:tc>
          <w:tcPr>
            <w:tcW w:w="1188" w:type="dxa"/>
            <w:vAlign w:val="center"/>
          </w:tcPr>
          <w:p>
            <w:pPr>
              <w:jc w:val="right"/>
            </w:pPr>
            <w:r>
              <w:t>88.046</w:t>
            </w:r>
          </w:p>
        </w:tc>
        <w:tc>
          <w:tcPr>
            <w:tcW w:w="1862" w:type="dxa"/>
            <w:vAlign w:val="center"/>
          </w:tcPr>
          <w:p>
            <w:r>
              <w:t>11月29日07时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21159</w:t>
            </w:r>
          </w:p>
        </w:tc>
        <w:tc>
          <w:tcPr>
            <w:tcW w:w="1188" w:type="dxa"/>
            <w:vAlign w:val="center"/>
          </w:tcPr>
          <w:p>
            <w:pPr>
              <w:jc w:val="right"/>
            </w:pPr>
            <w:r>
              <w:t>0</w:t>
            </w:r>
          </w:p>
        </w:tc>
        <w:tc>
          <w:tcPr>
            <w:tcW w:w="1188" w:type="dxa"/>
            <w:vAlign w:val="center"/>
          </w:tcPr>
          <w:p>
            <w:pPr>
              <w:jc w:val="right"/>
            </w:pPr>
            <w:r>
              <w:t>142.110</w:t>
            </w:r>
          </w:p>
        </w:tc>
        <w:tc>
          <w:tcPr>
            <w:tcW w:w="1862" w:type="dxa"/>
            <w:vAlign w:val="center"/>
          </w:tcPr>
          <w:p>
            <w:r>
              <w:t>12月25日07时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67000"/>
                    </a:xfrm>
                    <a:prstGeom prst="rect">
                      <a:avLst/>
                    </a:prstGeom>
                  </pic:spPr>
                </pic:pic>
              </a:graphicData>
            </a:graphic>
          </wp:inline>
        </w:drawing>
      </w:r>
    </w:p>
    <w:p/>
    <w:p>
      <w:pPr>
        <w:widowControl w:val="0"/>
        <w:jc w:val="both"/>
        <w:rPr>
          <w:color w:val="000000"/>
        </w:rPr>
      </w:pPr>
      <w:r>
        <w:drawing>
          <wp:inline distT="0" distB="0" distL="0" distR="0">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5667375" cy="2676525"/>
                    </a:xfrm>
                    <a:prstGeom prst="rect">
                      <a:avLst/>
                    </a:prstGeom>
                  </pic:spPr>
                </pic:pic>
              </a:graphicData>
            </a:graphic>
          </wp:inline>
        </w:drawing>
      </w:r>
    </w:p>
    <w:p>
      <w:pPr>
        <w:pStyle w:val="4"/>
        <w:widowControl w:val="0"/>
      </w:pPr>
      <w:bookmarkStart w:id="71" w:name="_Toc121251602"/>
      <w:r>
        <w:t>围护结构节能率</w:t>
      </w:r>
      <w:bookmarkEnd w:id="71"/>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jc w:val="center"/>
              <w:rPr>
                <w:lang w:val="en-US"/>
              </w:rPr>
            </w:pPr>
            <w:r>
              <w:rPr>
                <w:rFonts w:hint="eastAsia"/>
                <w:lang w:val="en-US"/>
              </w:rPr>
              <w:t>能耗子类</w:t>
            </w:r>
          </w:p>
        </w:tc>
        <w:tc>
          <w:tcPr>
            <w:tcW w:w="877" w:type="pct"/>
            <w:shd w:val="clear" w:color="auto" w:fill="E0E0E0"/>
            <w:vAlign w:val="center"/>
          </w:tcPr>
          <w:p>
            <w:pPr>
              <w:jc w:val="center"/>
              <w:rPr>
                <w:lang w:val="en-US"/>
              </w:rPr>
            </w:pPr>
            <w:bookmarkStart w:id="72" w:name="设计建筑别名"/>
            <w:r>
              <w:rPr>
                <w:rFonts w:hint="eastAsia"/>
                <w:lang w:val="en-US"/>
              </w:rPr>
              <w:t>设计建筑</w:t>
            </w:r>
            <w:bookmarkEnd w:id="72"/>
          </w:p>
          <w:p>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jc w:val="center"/>
              <w:rPr>
                <w:lang w:val="en-US"/>
              </w:rPr>
            </w:pPr>
            <w:bookmarkStart w:id="73" w:name="参照建筑别名"/>
            <w:r>
              <w:rPr>
                <w:rFonts w:hint="eastAsia"/>
                <w:lang w:val="en-US"/>
              </w:rPr>
              <w:t>参照建筑</w:t>
            </w:r>
            <w:bookmarkEnd w:id="73"/>
          </w:p>
          <w:p>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jc w:val="center"/>
              <w:rPr>
                <w:lang w:val="en-US"/>
              </w:rPr>
            </w:pPr>
            <w:bookmarkStart w:id="74" w:name="节能率别名"/>
            <w:r>
              <w:rPr>
                <w:rFonts w:hint="eastAsia"/>
                <w:lang w:val="en-US"/>
              </w:rPr>
              <w:t>节能率</w:t>
            </w:r>
            <w:bookmarkEnd w:id="74"/>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w:t>
            </w:r>
            <w:r>
              <w:rPr>
                <w:lang w:val="en-US"/>
              </w:rPr>
              <w:t>冷量</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4</w:t>
            </w:r>
            <w:r>
              <w:rPr>
                <w:rFonts w:hint="eastAsia" w:ascii="Times New Roman" w:hAnsi="Times New Roman" w:eastAsia="宋体" w:cs="Times New Roman"/>
                <w:kern w:val="0"/>
                <w:sz w:val="20"/>
                <w:szCs w:val="20"/>
                <w:lang w:val="en-US" w:eastAsia="zh-CN"/>
              </w:rPr>
              <w:t>6.54</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49.31</w:t>
            </w:r>
          </w:p>
        </w:tc>
        <w:tc>
          <w:tcPr>
            <w:tcW w:w="1794" w:type="dxa"/>
            <w:vAlign w:val="center"/>
          </w:tcPr>
          <w:p>
            <w:pPr>
              <w:keepNext w:val="0"/>
              <w:keepLines w:val="0"/>
              <w:suppressLineNumbers w:val="0"/>
              <w:spacing w:before="0" w:beforeAutospacing="0" w:after="0" w:afterAutospacing="0"/>
              <w:ind w:left="0" w:leftChars="0" w:right="0" w:rightChars="0"/>
              <w:jc w:val="center"/>
              <w:rPr>
                <w:lang w:val="en-US"/>
              </w:rPr>
            </w:pPr>
            <w:r>
              <w:rPr>
                <w:rFonts w:hint="eastAsia" w:ascii="Times New Roman" w:hAnsi="Times New Roman" w:eastAsia="宋体" w:cs="Times New Roman"/>
                <w:kern w:val="0"/>
                <w:sz w:val="20"/>
                <w:szCs w:val="20"/>
                <w:lang w:val="en-US" w:eastAsia="zh-CN"/>
              </w:rPr>
              <w:t>5.62</w:t>
            </w:r>
            <w:r>
              <w:rPr>
                <w:rFonts w:hint="default" w:ascii="Times New Roman" w:hAnsi="Times New Roman" w:eastAsia="宋体" w:cs="Times New Roman"/>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2</w:t>
            </w:r>
            <w:r>
              <w:rPr>
                <w:rFonts w:hint="eastAsia" w:ascii="Times New Roman" w:hAnsi="Times New Roman" w:eastAsia="宋体" w:cs="Times New Roman"/>
                <w:kern w:val="0"/>
                <w:sz w:val="20"/>
                <w:szCs w:val="20"/>
                <w:lang w:val="en-US" w:eastAsia="zh-CN"/>
              </w:rPr>
              <w:t>6.81</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29.89</w:t>
            </w:r>
          </w:p>
        </w:tc>
        <w:tc>
          <w:tcPr>
            <w:tcW w:w="1794" w:type="dxa"/>
            <w:vAlign w:val="center"/>
          </w:tcPr>
          <w:p>
            <w:pPr>
              <w:keepNext w:val="0"/>
              <w:keepLines w:val="0"/>
              <w:suppressLineNumbers w:val="0"/>
              <w:spacing w:before="0" w:beforeAutospacing="0" w:after="0" w:afterAutospacing="0"/>
              <w:ind w:left="0" w:leftChars="0" w:right="0" w:rightChars="0"/>
              <w:jc w:val="center"/>
              <w:rPr>
                <w:lang w:val="en-US"/>
              </w:rPr>
            </w:pPr>
            <w:r>
              <w:rPr>
                <w:rFonts w:hint="eastAsia" w:ascii="Times New Roman" w:hAnsi="Times New Roman" w:eastAsia="宋体" w:cs="Times New Roman"/>
                <w:kern w:val="0"/>
                <w:sz w:val="20"/>
                <w:szCs w:val="20"/>
                <w:lang w:val="en-US" w:eastAsia="zh-CN"/>
              </w:rPr>
              <w:t>10.30</w:t>
            </w:r>
            <w:r>
              <w:rPr>
                <w:rFonts w:hint="default" w:ascii="Times New Roman" w:hAnsi="Times New Roman" w:eastAsia="宋体" w:cs="Times New Roman"/>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冷热合计</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7</w:t>
            </w:r>
            <w:r>
              <w:rPr>
                <w:rFonts w:hint="eastAsia" w:ascii="Times New Roman" w:hAnsi="Times New Roman" w:eastAsia="宋体" w:cs="Times New Roman"/>
                <w:kern w:val="0"/>
                <w:sz w:val="20"/>
                <w:szCs w:val="20"/>
                <w:lang w:val="en-US" w:eastAsia="zh-CN"/>
              </w:rPr>
              <w:t>3.36</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79.20</w:t>
            </w:r>
          </w:p>
        </w:tc>
        <w:tc>
          <w:tcPr>
            <w:tcW w:w="1794" w:type="dxa"/>
            <w:vAlign w:val="center"/>
          </w:tcPr>
          <w:p>
            <w:pPr>
              <w:keepNext w:val="0"/>
              <w:keepLines w:val="0"/>
              <w:suppressLineNumbers w:val="0"/>
              <w:spacing w:before="0" w:beforeAutospacing="0" w:after="0" w:afterAutospacing="0"/>
              <w:ind w:left="0" w:leftChars="0" w:right="0" w:rightChars="0"/>
              <w:jc w:val="center"/>
              <w:rPr>
                <w:lang w:val="en-US"/>
              </w:rPr>
            </w:pPr>
            <w:r>
              <w:rPr>
                <w:rFonts w:hint="eastAsia" w:ascii="Times New Roman" w:hAnsi="Times New Roman" w:eastAsia="宋体" w:cs="Times New Roman"/>
                <w:color w:val="FF0000"/>
                <w:kern w:val="0"/>
                <w:sz w:val="20"/>
                <w:szCs w:val="20"/>
                <w:lang w:val="en-US" w:eastAsia="zh-CN"/>
              </w:rPr>
              <w:t>7.37</w:t>
            </w:r>
            <w:r>
              <w:rPr>
                <w:rFonts w:hint="default" w:ascii="Times New Roman" w:hAnsi="Times New Roman" w:eastAsia="宋体" w:cs="Times New Roman"/>
                <w:color w:val="FF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75" w:name="供冷综合效率折算权重"/>
            <w:r>
              <w:rPr>
                <w:rFonts w:hint="eastAsia"/>
                <w:lang w:val="en-US"/>
              </w:rPr>
              <w:t>2.5</w:t>
            </w:r>
            <w:bookmarkEnd w:id="75"/>
          </w:p>
        </w:tc>
        <w:tc>
          <w:tcPr>
            <w:tcW w:w="877" w:type="pct"/>
            <w:vAlign w:val="center"/>
          </w:tcPr>
          <w:p>
            <w:pPr>
              <w:jc w:val="center"/>
              <w:rPr>
                <w:lang w:val="en-US"/>
              </w:rPr>
            </w:pPr>
            <w:bookmarkStart w:id="76" w:name="供冷综合效率折算权重2"/>
            <w:r>
              <w:rPr>
                <w:rFonts w:hint="eastAsia"/>
                <w:lang w:val="en-US"/>
              </w:rPr>
              <w:t>2.5</w:t>
            </w:r>
            <w:bookmarkEnd w:id="76"/>
          </w:p>
        </w:tc>
        <w:tc>
          <w:tcPr>
            <w:tcW w:w="961" w:type="pct"/>
            <w:vMerge w:val="restart"/>
            <w:vAlign w:val="center"/>
          </w:tcPr>
          <w:p>
            <w:pPr>
              <w:jc w:val="center"/>
              <w:rPr>
                <w:lang w:val="en-US"/>
              </w:rPr>
            </w:pPr>
            <w:r>
              <w:rPr>
                <w:rFonts w:hint="eastAsia" w:ascii="Times New Roman" w:hAnsi="Times New Roman" w:eastAsia="宋体" w:cs="Times New Roman"/>
                <w:color w:val="FF0000"/>
                <w:kern w:val="0"/>
                <w:sz w:val="20"/>
                <w:szCs w:val="20"/>
                <w:lang w:val="en-US" w:eastAsia="zh-CN"/>
              </w:rPr>
              <w:t>5.58</w:t>
            </w:r>
            <w:r>
              <w:rPr>
                <w:rFonts w:hint="default" w:ascii="Times New Roman" w:hAnsi="Times New Roman" w:eastAsia="宋体" w:cs="Times New Roman"/>
                <w:color w:val="FF0000"/>
                <w:kern w:val="0"/>
                <w:sz w:val="20"/>
                <w:szCs w:val="2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供冷</w:t>
            </w:r>
            <w:r>
              <w:rPr>
                <w:lang w:val="en-US"/>
              </w:rPr>
              <w:t>能耗</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1</w:t>
            </w:r>
            <w:r>
              <w:rPr>
                <w:rFonts w:hint="eastAsia" w:ascii="Times New Roman" w:hAnsi="Times New Roman" w:eastAsia="宋体" w:cs="Times New Roman"/>
                <w:kern w:val="0"/>
                <w:sz w:val="20"/>
                <w:szCs w:val="20"/>
                <w:lang w:val="en-US" w:eastAsia="zh-CN"/>
              </w:rPr>
              <w:t>8.62</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19.72</w:t>
            </w:r>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77" w:name="供暖综合效率折算权重"/>
            <w:r>
              <w:rPr>
                <w:rFonts w:hint="eastAsia"/>
                <w:lang w:val="en-US"/>
              </w:rPr>
              <w:t>2.2</w:t>
            </w:r>
            <w:bookmarkEnd w:id="77"/>
          </w:p>
        </w:tc>
        <w:tc>
          <w:tcPr>
            <w:tcW w:w="877" w:type="pct"/>
            <w:vAlign w:val="center"/>
          </w:tcPr>
          <w:p>
            <w:pPr>
              <w:jc w:val="center"/>
              <w:rPr>
                <w:lang w:val="en-US"/>
              </w:rPr>
            </w:pPr>
            <w:bookmarkStart w:id="78" w:name="供暖综合效率折算权重2"/>
            <w:r>
              <w:rPr>
                <w:rFonts w:hint="eastAsia"/>
                <w:lang w:val="en-US"/>
              </w:rPr>
              <w:t>2.2</w:t>
            </w:r>
            <w:bookmarkEnd w:id="78"/>
          </w:p>
        </w:tc>
        <w:tc>
          <w:tcPr>
            <w:tcW w:w="961" w:type="pct"/>
            <w:vMerge w:val="restart"/>
            <w:vAlign w:val="center"/>
          </w:tcPr>
          <w:p>
            <w:pPr>
              <w:jc w:val="center"/>
              <w:rPr>
                <w:lang w:val="en-US"/>
              </w:rPr>
            </w:pPr>
            <w:r>
              <w:rPr>
                <w:rFonts w:hint="eastAsia" w:ascii="Times New Roman" w:hAnsi="Times New Roman" w:eastAsia="宋体" w:cs="Times New Roman"/>
                <w:color w:val="FF0000"/>
                <w:kern w:val="0"/>
                <w:sz w:val="20"/>
                <w:szCs w:val="20"/>
                <w:lang w:val="en-US" w:eastAsia="zh-CN"/>
              </w:rPr>
              <w:t>10.31</w:t>
            </w:r>
            <w:r>
              <w:rPr>
                <w:rFonts w:hint="default" w:ascii="Times New Roman" w:hAnsi="Times New Roman" w:eastAsia="宋体" w:cs="Times New Roman"/>
                <w:color w:val="FF0000"/>
                <w:kern w:val="0"/>
                <w:sz w:val="20"/>
                <w:szCs w:val="2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供暖能耗</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12.</w:t>
            </w:r>
            <w:r>
              <w:rPr>
                <w:rFonts w:hint="eastAsia" w:ascii="Times New Roman" w:hAnsi="Times New Roman" w:eastAsia="宋体" w:cs="Times New Roman"/>
                <w:kern w:val="0"/>
                <w:sz w:val="20"/>
                <w:szCs w:val="20"/>
                <w:lang w:val="en-US" w:eastAsia="zh-CN"/>
              </w:rPr>
              <w:t>19</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13.59</w:t>
            </w:r>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3</w:t>
            </w:r>
            <w:r>
              <w:rPr>
                <w:rFonts w:hint="eastAsia" w:ascii="Times New Roman" w:hAnsi="Times New Roman" w:eastAsia="宋体" w:cs="Times New Roman"/>
                <w:kern w:val="0"/>
                <w:sz w:val="20"/>
                <w:szCs w:val="20"/>
                <w:lang w:val="en-US" w:eastAsia="zh-CN"/>
              </w:rPr>
              <w:t>0.81</w:t>
            </w:r>
          </w:p>
        </w:tc>
        <w:tc>
          <w:tcPr>
            <w:tcW w:w="1637" w:type="dxa"/>
            <w:vAlign w:val="center"/>
          </w:tcPr>
          <w:p>
            <w:pPr>
              <w:keepNext w:val="0"/>
              <w:keepLines w:val="0"/>
              <w:suppressLineNumbers w:val="0"/>
              <w:spacing w:before="0" w:beforeAutospacing="0" w:after="0" w:afterAutospacing="0"/>
              <w:ind w:left="0" w:leftChars="0" w:right="0" w:rightChars="0"/>
              <w:jc w:val="center"/>
              <w:rPr>
                <w:lang w:val="en-US"/>
              </w:rPr>
            </w:pPr>
            <w:r>
              <w:rPr>
                <w:rFonts w:hint="default" w:ascii="Times New Roman" w:hAnsi="Times New Roman" w:eastAsia="宋体" w:cs="Times New Roman"/>
                <w:kern w:val="0"/>
                <w:sz w:val="20"/>
                <w:szCs w:val="20"/>
              </w:rPr>
              <w:t>33.31</w:t>
            </w:r>
          </w:p>
        </w:tc>
        <w:tc>
          <w:tcPr>
            <w:tcW w:w="1794" w:type="dxa"/>
            <w:vAlign w:val="center"/>
          </w:tcPr>
          <w:p>
            <w:pPr>
              <w:keepNext w:val="0"/>
              <w:keepLines w:val="0"/>
              <w:suppressLineNumbers w:val="0"/>
              <w:spacing w:before="0" w:beforeAutospacing="0" w:after="0" w:afterAutospacing="0"/>
              <w:ind w:left="0" w:leftChars="0" w:right="0" w:rightChars="0"/>
              <w:jc w:val="center"/>
              <w:rPr>
                <w:lang w:val="en-US"/>
              </w:rPr>
            </w:pPr>
            <w:r>
              <w:rPr>
                <w:rFonts w:hint="eastAsia" w:ascii="Times New Roman" w:hAnsi="Times New Roman" w:eastAsia="宋体" w:cs="Times New Roman"/>
                <w:color w:val="FF0000"/>
                <w:kern w:val="0"/>
                <w:sz w:val="20"/>
                <w:szCs w:val="20"/>
                <w:lang w:val="en-US" w:eastAsia="zh-CN"/>
              </w:rPr>
              <w:t>7.51</w:t>
            </w:r>
            <w:r>
              <w:rPr>
                <w:rFonts w:hint="default" w:ascii="Times New Roman" w:hAnsi="Times New Roman" w:eastAsia="宋体" w:cs="Times New Roman"/>
                <w:color w:val="FF0000"/>
                <w:kern w:val="0"/>
                <w:sz w:val="20"/>
                <w:szCs w:val="20"/>
                <w:lang w:val="en-US" w:eastAsia="zh-CN"/>
              </w:rPr>
              <w:t>%</w:t>
            </w:r>
          </w:p>
        </w:tc>
      </w:tr>
    </w:tbl>
    <w:p>
      <w:pPr>
        <w:jc w:val="center"/>
        <w:rPr>
          <w:sz w:val="20"/>
          <w:lang w:val="en-US"/>
        </w:rPr>
      </w:pPr>
    </w:p>
    <w:p>
      <w:pPr>
        <w:widowControl w:val="0"/>
        <w:jc w:val="both"/>
        <w:rPr>
          <w:color w:val="000000"/>
        </w:rPr>
      </w:pPr>
    </w:p>
    <w:p>
      <w:pPr>
        <w:pStyle w:val="2"/>
        <w:widowControl w:val="0"/>
        <w:jc w:val="both"/>
        <w:rPr>
          <w:color w:val="000000"/>
        </w:rPr>
      </w:pPr>
      <w:bookmarkStart w:id="79" w:name="_Toc121251603"/>
      <w:r>
        <w:rPr>
          <w:color w:val="000000"/>
        </w:rPr>
        <w:t>绿色建筑性能评估得分</w:t>
      </w:r>
      <w:bookmarkEnd w:id="79"/>
    </w:p>
    <w:p>
      <w:pPr>
        <w:pStyle w:val="4"/>
        <w:widowControl w:val="0"/>
      </w:pPr>
      <w:bookmarkStart w:id="80" w:name="_Toc121251604"/>
      <w:r>
        <w:t>优化建筑围护结构的热工性能</w:t>
      </w:r>
      <w:bookmarkEnd w:id="80"/>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8"/>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r>
              <w:t>序号</w:t>
            </w:r>
          </w:p>
        </w:tc>
        <w:tc>
          <w:tcPr>
            <w:tcW w:w="3792" w:type="dxa"/>
            <w:shd w:val="clear" w:color="auto" w:fill="E6E6E6"/>
            <w:vAlign w:val="center"/>
          </w:tcPr>
          <w:p>
            <w:pPr>
              <w:jc w:val="center"/>
            </w:pPr>
            <w:r>
              <w:t>评价内容</w:t>
            </w:r>
          </w:p>
        </w:tc>
        <w:tc>
          <w:tcPr>
            <w:tcW w:w="1839" w:type="dxa"/>
            <w:shd w:val="clear" w:color="auto" w:fill="E6E6E6"/>
            <w:vAlign w:val="center"/>
          </w:tcPr>
          <w:p>
            <w:pPr>
              <w:jc w:val="center"/>
            </w:pPr>
            <w:r>
              <w:t>评估分值</w:t>
            </w:r>
          </w:p>
        </w:tc>
        <w:tc>
          <w:tcPr>
            <w:tcW w:w="1839" w:type="dxa"/>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1</w:t>
            </w:r>
          </w:p>
        </w:tc>
        <w:tc>
          <w:tcPr>
            <w:tcW w:w="3792" w:type="dxa"/>
            <w:vAlign w:val="center"/>
          </w:tcPr>
          <w:p>
            <w:r>
              <w:t>建筑供暖空调负荷降低5%</w:t>
            </w:r>
          </w:p>
        </w:tc>
        <w:tc>
          <w:tcPr>
            <w:tcW w:w="1839" w:type="dxa"/>
            <w:vAlign w:val="center"/>
          </w:tcPr>
          <w:p>
            <w:r>
              <w:t>5</w:t>
            </w:r>
          </w:p>
        </w:tc>
        <w:tc>
          <w:tcPr>
            <w:tcW w:w="1839" w:type="dxa"/>
            <w:vMerge w:val="restart"/>
            <w:vAlign w:val="center"/>
          </w:tcPr>
          <w:p>
            <w:pPr>
              <w:jc w:val="center"/>
            </w:pPr>
            <w:bookmarkStart w:id="85" w:name="_GoBack"/>
            <w:r>
              <w:rPr>
                <w:color w:val="FF0000"/>
              </w:rPr>
              <w:t>5</w:t>
            </w:r>
            <w:bookmarkEnd w:id="85"/>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2</w:t>
            </w:r>
          </w:p>
        </w:tc>
        <w:tc>
          <w:tcPr>
            <w:tcW w:w="3792" w:type="dxa"/>
            <w:vAlign w:val="center"/>
          </w:tcPr>
          <w:p>
            <w:r>
              <w:t>建筑供暖空调负荷降低10%</w:t>
            </w:r>
          </w:p>
        </w:tc>
        <w:tc>
          <w:tcPr>
            <w:tcW w:w="1839" w:type="dxa"/>
            <w:vAlign w:val="center"/>
          </w:tcPr>
          <w:p>
            <w:r>
              <w:t>10</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3</w:t>
            </w:r>
          </w:p>
        </w:tc>
        <w:tc>
          <w:tcPr>
            <w:tcW w:w="3792" w:type="dxa"/>
            <w:vAlign w:val="center"/>
          </w:tcPr>
          <w:p>
            <w:r>
              <w:t>建筑供暖空调负荷降低15%</w:t>
            </w:r>
          </w:p>
        </w:tc>
        <w:tc>
          <w:tcPr>
            <w:tcW w:w="1839" w:type="dxa"/>
            <w:vAlign w:val="center"/>
          </w:tcPr>
          <w:p>
            <w:r>
              <w:t>15</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r>
              <w:t>标准依据</w:t>
            </w:r>
          </w:p>
        </w:tc>
        <w:tc>
          <w:tcPr>
            <w:tcW w:w="7470" w:type="dxa"/>
            <w:gridSpan w:val="3"/>
            <w:vAlign w:val="center"/>
          </w:tcPr>
          <w:p>
            <w:r>
              <w:t>《绿色建筑评价标准》GB/T 50378-2019第7.2.4条</w:t>
            </w:r>
          </w:p>
        </w:tc>
      </w:tr>
    </w:tbl>
    <w:p>
      <w:pPr>
        <w:widowControl w:val="0"/>
        <w:jc w:val="center"/>
        <w:rPr>
          <w:color w:val="000000"/>
        </w:rPr>
      </w:pPr>
      <w:r>
        <w:drawing>
          <wp:inline distT="0" distB="0" distL="0" distR="0">
            <wp:extent cx="4829175" cy="457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4829682" cy="4572480"/>
                    </a:xfrm>
                    <a:prstGeom prst="rect">
                      <a:avLst/>
                    </a:prstGeom>
                  </pic:spPr>
                </pic:pic>
              </a:graphicData>
            </a:graphic>
          </wp:inline>
        </w:drawing>
      </w:r>
      <w:r>
        <w:drawing>
          <wp:inline distT="0" distB="0" distL="0" distR="0">
            <wp:extent cx="4829175" cy="4581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4829682" cy="4582006"/>
                    </a:xfrm>
                    <a:prstGeom prst="rect">
                      <a:avLst/>
                    </a:prstGeom>
                  </pic:spPr>
                </pic:pic>
              </a:graphicData>
            </a:graphic>
          </wp:inline>
        </w:drawing>
      </w:r>
    </w:p>
    <w:p/>
    <w:p>
      <w:pPr>
        <w:jc w:val="center"/>
      </w:pPr>
      <w:r>
        <w:drawing>
          <wp:inline distT="0" distB="0" distL="0" distR="0">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4238625"/>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81" w:name="_Toc121251605"/>
      <w:r>
        <w:t>附录</w:t>
      </w:r>
      <w:bookmarkEnd w:id="81"/>
    </w:p>
    <w:p>
      <w:pPr>
        <w:pStyle w:val="4"/>
      </w:pPr>
      <w:bookmarkStart w:id="82" w:name="_Toc121251606"/>
      <w:r>
        <w:t>工作日/节假日人员逐时在室率(%)</w:t>
      </w:r>
      <w:bookmarkEnd w:id="82"/>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门诊-机房等非空调房间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Pr>
        <w:jc w:val="both"/>
      </w:pPr>
    </w:p>
    <w:p>
      <w:r>
        <w:t>注：上行：工作日；下行：节假日</w:t>
      </w:r>
    </w:p>
    <w:p>
      <w:pPr>
        <w:pStyle w:val="4"/>
      </w:pPr>
      <w:bookmarkStart w:id="83" w:name="_Toc121251607"/>
      <w:r>
        <w:t>工作日/节假日照明开关时间表(%)</w:t>
      </w:r>
      <w:bookmarkEnd w:id="83"/>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门诊-机房等非空调房间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bl>
    <w:p/>
    <w:p>
      <w:r>
        <w:t>注：上行：工作日；下行：节假日</w:t>
      </w:r>
    </w:p>
    <w:p>
      <w:pPr>
        <w:pStyle w:val="4"/>
      </w:pPr>
      <w:bookmarkStart w:id="84" w:name="_Toc121251608"/>
      <w:r>
        <w:t>工作日/节假日设备逐时使用率(%)</w:t>
      </w:r>
      <w:bookmarkEnd w:id="84"/>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门诊-机房等非空调房间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3OTAxMThlODg1Y2M2NjE3OTE2ZDk5ZGU1ZDYyYmMifQ=="/>
  </w:docVars>
  <w:rsids>
    <w:rsidRoot w:val="00E01B41"/>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3A23"/>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2291"/>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01B41"/>
    <w:rsid w:val="00E3135C"/>
    <w:rsid w:val="00E31452"/>
    <w:rsid w:val="00E81ACD"/>
    <w:rsid w:val="00EF5AB9"/>
    <w:rsid w:val="00F75DD1"/>
    <w:rsid w:val="00FA4B87"/>
    <w:rsid w:val="00FF02F8"/>
    <w:rsid w:val="00FF2243"/>
    <w:rsid w:val="60C6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NEN~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Company>ths</Company>
  <Pages>14</Pages>
  <Words>3191</Words>
  <Characters>5042</Characters>
  <Lines>60</Lines>
  <Paragraphs>16</Paragraphs>
  <TotalTime>0</TotalTime>
  <ScaleCrop>false</ScaleCrop>
  <LinksUpToDate>false</LinksUpToDate>
  <CharactersWithSpaces>5182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2022-12-06T12:39:00Z</dcterms:created>
  <dc:creator>THANENSIHN</dc:creator>
  <cp:lastModifiedBy>听我讲</cp:lastModifiedBy>
  <cp:lastPrinted>2411-12-31T16:00:00Z</cp:lastPrinted>
  <dcterms:modified xsi:type="dcterms:W3CDTF">2022-12-11T11:17:46Z</dcterms:modified>
  <dc:title>围护结构节能率计算书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36DEABA87DC74C84A9DB5E4B51400082</vt:lpwstr>
  </property>
</Properties>
</file>