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hint="default" w:ascii="黑体" w:hAnsi="宋体" w:eastAsia="黑体"/>
          <w:b/>
          <w:bCs/>
          <w:sz w:val="72"/>
          <w:szCs w:val="72"/>
          <w:lang w:val="en-US" w:eastAsia="zh-CN"/>
        </w:rPr>
      </w:pPr>
      <w:r>
        <w:rPr>
          <w:rFonts w:hint="eastAsia" w:ascii="黑体" w:hAnsi="宋体" w:eastAsia="黑体"/>
          <w:b/>
          <w:bCs/>
          <w:sz w:val="72"/>
          <w:szCs w:val="72"/>
          <w:lang w:val="en-US" w:eastAsia="zh-CN"/>
        </w:rPr>
        <w:t>建筑设计说明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 w:eastAsia="zh-CN"/>
        </w:rPr>
        <w:t>公共</w:t>
      </w:r>
      <w:r>
        <w:rPr>
          <w:rFonts w:hint="eastAsia" w:ascii="宋体" w:hAnsi="宋体"/>
          <w:bCs/>
          <w:sz w:val="44"/>
          <w:szCs w:val="44"/>
          <w:lang w:val="en-US"/>
        </w:rPr>
        <w:t>建筑</w:t>
      </w:r>
      <w:bookmarkEnd w:id="0"/>
    </w:p>
    <w:p>
      <w:pPr>
        <w:spacing w:line="180" w:lineRule="atLeast"/>
        <w:jc w:val="center"/>
        <w:rPr>
          <w:rFonts w:ascii="宋体" w:hAnsi="宋体"/>
          <w:b/>
          <w:bCs/>
          <w:szCs w:val="18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4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4433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1" w:name="项目名称"/>
            <w:bookmarkEnd w:id="1"/>
            <w:r>
              <w:rPr>
                <w:rFonts w:hint="eastAsia" w:ascii="宋体" w:hAnsi="宋体"/>
                <w:szCs w:val="21"/>
                <w:lang w:val="en-US" w:eastAsia="zh-CN"/>
              </w:rPr>
              <w:t>黉舍绿忆&amp;绿色校园——大学生活动中心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4433" w:type="dxa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2" w:name="地理位置"/>
            <w:r>
              <w:rPr>
                <w:rFonts w:hint="eastAsia"/>
                <w:lang w:val="en-US" w:eastAsia="zh-CN"/>
              </w:rPr>
              <w:t>辽宁</w:t>
            </w:r>
            <w:bookmarkEnd w:id="2"/>
            <w:r>
              <w:rPr>
                <w:rFonts w:hint="eastAsia"/>
                <w:lang w:val="en-US" w:eastAsia="zh-CN"/>
              </w:rPr>
              <w:t>-锦州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4433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4433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4433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443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443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443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szCs w:val="18"/>
          <w:lang w:val="en-US"/>
        </w:rPr>
      </w:pPr>
    </w:p>
    <w:p>
      <w:pPr>
        <w:jc w:val="both"/>
        <w:rPr>
          <w:rFonts w:hint="eastAsia" w:ascii="宋体" w:hAnsi="宋体" w:eastAsia="宋体"/>
          <w:bCs/>
          <w:szCs w:val="18"/>
          <w:lang w:eastAsia="zh-CN"/>
        </w:rPr>
      </w:pPr>
      <w:bookmarkStart w:id="6" w:name="二维码"/>
      <w:bookmarkEnd w:id="6"/>
      <w:r>
        <w:rPr>
          <w:rFonts w:hint="eastAsia" w:ascii="宋体" w:hAnsi="宋体"/>
          <w:bCs/>
          <w:szCs w:val="18"/>
          <w:lang w:val="en-US" w:eastAsia="zh-CN"/>
        </w:rPr>
        <w:t xml:space="preserve">           </w:t>
      </w:r>
      <w:r>
        <w:rPr>
          <w:rFonts w:hint="eastAsia" w:ascii="宋体" w:hAnsi="宋体" w:eastAsia="宋体"/>
          <w:bCs/>
          <w:szCs w:val="18"/>
          <w:lang w:eastAsia="zh-CN"/>
        </w:rPr>
        <w:drawing>
          <wp:inline distT="0" distB="0" distL="114300" distR="114300">
            <wp:extent cx="5689600" cy="2849245"/>
            <wp:effectExtent l="0" t="0" r="6350" b="8255"/>
            <wp:docPr id="5" name="图片 5" descr="黉舍绿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黉舍绿忆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t>斯维尔节能设计BECS2020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20200</w:t>
            </w:r>
            <w:bookmarkEnd w:id="8"/>
            <w:r>
              <w:rPr>
                <w:rFonts w:ascii="宋体" w:hAnsi="宋体"/>
                <w:szCs w:val="18"/>
              </w:rPr>
              <w:t>505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</w:p>
        </w:tc>
      </w:tr>
    </w:tbl>
    <w:p>
      <w:pPr>
        <w:pStyle w:val="16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>
      <w:pPr>
        <w:rPr>
          <w:lang w:val="en-US"/>
        </w:rPr>
        <w:sectPr>
          <w:headerReference r:id="rId3" w:type="first"/>
          <w:footerReference r:id="rId4" w:type="first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bookmarkStart w:id="9" w:name="_Toc316568035"/>
      <w:r>
        <w:rPr>
          <w:rFonts w:hint="eastAsia"/>
        </w:rPr>
        <w:t>建筑概况</w:t>
      </w:r>
      <w:bookmarkEnd w:id="9"/>
    </w:p>
    <w:tbl>
      <w:tblPr>
        <w:tblStyle w:val="19"/>
        <w:tblW w:w="475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5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5707" w:type="dxa"/>
            <w:shd w:val="clear" w:color="auto" w:fill="auto"/>
            <w:vAlign w:val="top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10" w:name="工程名称"/>
            <w:bookmarkEnd w:id="10"/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黉舍绿忆&amp;绿色校园——绿色建筑设计大学生活动中心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570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辽宁-锦州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气候子区</w:t>
            </w:r>
          </w:p>
        </w:tc>
        <w:tc>
          <w:tcPr>
            <w:tcW w:w="570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1" w:name="气候分区"/>
            <w:r>
              <w:t>寒冷</w:t>
            </w:r>
            <w:r>
              <w:rPr>
                <w:rFonts w:hint="eastAsia"/>
                <w:lang w:val="en-US" w:eastAsia="zh-CN"/>
              </w:rPr>
              <w:t>II（A）</w:t>
            </w:r>
            <w:r>
              <w:t>区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建筑面积(Ao)</w:t>
            </w:r>
          </w:p>
        </w:tc>
        <w:tc>
          <w:tcPr>
            <w:tcW w:w="570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r>
              <w:rPr>
                <w:rFonts w:hint="eastAsia" w:ascii="宋体" w:hAnsi="宋体"/>
                <w:lang w:val="en-US" w:eastAsia="zh-CN"/>
              </w:rPr>
              <w:t>1540.27</w:t>
            </w:r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>一层904.74㎡ 二层635.53㎡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570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二层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570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10.85m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570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bookmarkStart w:id="12" w:name="结构类型"/>
            <w:bookmarkEnd w:id="12"/>
            <w:r>
              <w:rPr>
                <w:rFonts w:hint="eastAsia" w:ascii="宋体" w:hAnsi="宋体"/>
                <w:lang w:val="en-US" w:eastAsia="zh-CN"/>
              </w:rPr>
              <w:t>混凝土结构</w:t>
            </w:r>
          </w:p>
        </w:tc>
      </w:tr>
    </w:tbl>
    <w:p>
      <w:pPr>
        <w:pStyle w:val="2"/>
      </w:pPr>
      <w:bookmarkStart w:id="13" w:name="_Toc316568036"/>
      <w:bookmarkStart w:id="14" w:name="TitleFormat"/>
      <w:r>
        <w:rPr>
          <w:rFonts w:hint="eastAsia"/>
        </w:rPr>
        <w:t>评价依据</w:t>
      </w:r>
      <w:bookmarkEnd w:id="13"/>
    </w:p>
    <w:bookmarkEnd w:id="14"/>
    <w:p>
      <w:pPr>
        <w:pStyle w:val="2"/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  <w:t>1、《中华人民共和国工程建设标准强制性条文》（2013年版）/2《民用建筑设计统一标准》（GB50352-2019）</w:t>
      </w:r>
    </w:p>
    <w:p>
      <w:pPr>
        <w:pStyle w:val="2"/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  <w:t>2、《无障碍设计规范》（GB50763-2012）</w:t>
      </w:r>
    </w:p>
    <w:p>
      <w:pPr>
        <w:pStyle w:val="2"/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  <w:t>3、《建筑设计防火规范》（GB50016-2014）（2018年版）</w:t>
      </w:r>
    </w:p>
    <w:p>
      <w:pPr>
        <w:pStyle w:val="2"/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  <w:t>4、《建筑内部装修设计防火规范》（GB50222-2017）</w:t>
      </w:r>
    </w:p>
    <w:p>
      <w:pPr>
        <w:pStyle w:val="2"/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  <w:t>5、《民用建筑热工设计规范》（GB50176-2016）</w:t>
      </w:r>
    </w:p>
    <w:p>
      <w:pPr>
        <w:pStyle w:val="2"/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  <w:t>6、《民用建筑隔声设计规范》（GB50118-2010）</w:t>
      </w:r>
    </w:p>
    <w:p>
      <w:pPr>
        <w:pStyle w:val="2"/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  <w:t>7、《建筑工程建筑面积计算规范》（GB/T50353-2013）</w:t>
      </w:r>
    </w:p>
    <w:p>
      <w:pPr>
        <w:pStyle w:val="2"/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  <w:t>8、《公共建筑节能设计标准》(GB50189-2015)</w:t>
      </w:r>
    </w:p>
    <w:p>
      <w:pPr>
        <w:pStyle w:val="2"/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  <w:t>9、《辽宁省公共建筑节能(65%)设计标准》(DB21/T1899-2011)</w:t>
      </w:r>
    </w:p>
    <w:p>
      <w:pPr>
        <w:pStyle w:val="2"/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  <w:t>10、《绿色建筑评价标准》(B/T50378-2019)</w:t>
      </w:r>
    </w:p>
    <w:p>
      <w:pPr>
        <w:pStyle w:val="2"/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  <w:t>11、《办公建筑设计标准》(JGJ/T67-2019)</w:t>
      </w:r>
    </w:p>
    <w:p>
      <w:pPr>
        <w:pStyle w:val="2"/>
        <w:numPr>
          <w:ilvl w:val="0"/>
          <w:numId w:val="0"/>
        </w:numPr>
        <w:ind w:leftChars="0"/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 w:bidi="ar-SA"/>
        </w:rPr>
        <w:t>12、《建筑节能与可再生能源利用通用规范》(GB55015-2021)建设目标及关键绿色</w:t>
      </w:r>
      <w:r>
        <w:rPr>
          <w:rFonts w:hint="eastAsia"/>
          <w:lang w:val="en-US" w:eastAsia="zh-CN"/>
        </w:rPr>
        <w:t>设计指标</w:t>
      </w:r>
    </w:p>
    <w:p>
      <w:pPr>
        <w:numPr>
          <w:ilvl w:val="0"/>
          <w:numId w:val="2"/>
        </w:numPr>
        <w:ind w:left="360" w:leftChars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本项目建设目标率绿色建筑二星级。</w:t>
      </w:r>
    </w:p>
    <w:p>
      <w:pPr>
        <w:numPr>
          <w:ilvl w:val="0"/>
          <w:numId w:val="2"/>
        </w:numPr>
        <w:ind w:left="360" w:leftChars="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方案</w:t>
      </w: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t>设计阶段严格按照绿色建筑设计规范及评价标准进行设计。</w:t>
      </w:r>
    </w:p>
    <w:p>
      <w:pPr>
        <w:numPr>
          <w:ilvl w:val="0"/>
          <w:numId w:val="2"/>
        </w:numPr>
        <w:ind w:left="360" w:leftChars="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t>本项目总平面布局结合当地主导风向，合理进行建筑布局。</w:t>
      </w:r>
    </w:p>
    <w:p>
      <w:pPr>
        <w:numPr>
          <w:ilvl w:val="0"/>
          <w:numId w:val="2"/>
        </w:numPr>
        <w:ind w:left="360" w:leftChars="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t>经日照模拟分析，本项目不影响周边居住建筑的日照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2"/>
        </w:numPr>
        <w:ind w:left="360" w:leftChars="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建筑造型要素简约，外立面有功能性构件附着。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71"/>
        <w:rPr>
          <w:rFonts w:hint="default" w:ascii="Times New Roman" w:hAnsi="Times New Roman" w:eastAsia="宋体" w:cs="Times New Roman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32"/>
          <w:sz w:val="28"/>
          <w:szCs w:val="28"/>
          <w:lang w:val="en-US" w:eastAsia="zh-CN" w:bidi="ar-SA"/>
        </w:rPr>
        <w:t>4 建筑设计</w:t>
      </w:r>
    </w:p>
    <w:p>
      <w:pPr>
        <w:numPr>
          <w:ilvl w:val="0"/>
          <w:numId w:val="3"/>
        </w:numPr>
        <w:spacing w:line="240" w:lineRule="auto"/>
        <w:ind w:left="450" w:leftChars="100" w:hanging="240" w:hangingChars="100"/>
        <w:jc w:val="both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建筑外立面</w:t>
      </w:r>
      <w:r>
        <w:rPr>
          <w:rFonts w:hint="eastAsia" w:ascii="宋体" w:hAnsi="宋体" w:eastAsia="宋体" w:cs="宋体"/>
          <w:b w:val="0"/>
          <w:bCs w:val="0"/>
          <w:color w:val="000000"/>
          <w:kern w:val="24"/>
          <w:sz w:val="24"/>
          <w:szCs w:val="24"/>
        </w:rPr>
        <w:t>根据气候条件设计成可呼吸的玻璃幕墙。</w:t>
      </w:r>
      <w:r>
        <w:rPr>
          <w:rFonts w:hint="eastAsia" w:ascii="宋体" w:hAnsi="宋体" w:eastAsia="宋体" w:cs="宋体"/>
          <w:b w:val="0"/>
          <w:bCs w:val="0"/>
          <w:color w:val="000000"/>
          <w:kern w:val="24"/>
          <w:sz w:val="24"/>
          <w:szCs w:val="24"/>
          <w:lang w:val="en-US" w:eastAsia="zh-CN" w:bidi="ar"/>
        </w:rPr>
        <w:t>夏季利用双层玻璃幕墙的“烟囱效应”，减少进入室内的太阳辐射，起到隔热的作用，降低室内空调能耗。冬季利用玻璃幕墙的“温室效应”，提高围护结构的保温能力，降低采暖能耗。屋顶采用</w:t>
      </w:r>
      <w:r>
        <w:rPr>
          <w:rFonts w:hint="eastAsia" w:ascii="宋体" w:hAnsi="宋体" w:eastAsia="宋体" w:cs="宋体"/>
          <w:color w:val="000000"/>
          <w:kern w:val="24"/>
          <w:sz w:val="24"/>
          <w:szCs w:val="24"/>
        </w:rPr>
        <w:t>绿化屋顶</w:t>
      </w:r>
      <w:r>
        <w:rPr>
          <w:rFonts w:hint="eastAsia" w:ascii="宋体" w:hAnsi="宋体" w:eastAsia="宋体" w:cs="宋体"/>
          <w:color w:val="000000"/>
          <w:kern w:val="24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24"/>
          <w:sz w:val="24"/>
          <w:szCs w:val="24"/>
        </w:rPr>
        <w:t>屋顶绿化可以减少房间空调用电量 18%，而且室外温度越高，屋顶绿化的节电效果越大。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节能设计各项指标满足《公共建筑节能设计标准》GB50189-2015、《辽宁省公共建筑节能（65%）设计标准》(DB21/T1899-2011)及《建筑节能与可再生能源利用通用规范》(GB55015-2021)。节能设计气候分区为寒冷Ⅱ(A)区，节能率为72%甲类建筑。</w:t>
      </w:r>
    </w:p>
    <w:p>
      <w:pPr>
        <w:numPr>
          <w:ilvl w:val="0"/>
          <w:numId w:val="3"/>
        </w:numPr>
        <w:spacing w:line="240" w:lineRule="auto"/>
        <w:ind w:left="450" w:leftChars="100" w:hanging="240" w:hangingChars="100"/>
        <w:jc w:val="both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t>建筑构造优先按被动措施，优化建筑体型和内部空间布局，充分利用天然采光，尽可能使每个空间能满足自然采光。自然通风，外围护结构,采用保温、隔热、遮阳等措施，降低建筑的采暖、空调和照明系统的负荷，提高室内舒适度。建筑采用南北向布置的最佳朝向。</w:t>
      </w:r>
    </w:p>
    <w:p>
      <w:pPr>
        <w:numPr>
          <w:ilvl w:val="0"/>
          <w:numId w:val="3"/>
        </w:numPr>
        <w:spacing w:line="240" w:lineRule="auto"/>
        <w:ind w:left="450" w:leftChars="100" w:hanging="240" w:hangingChars="100"/>
        <w:jc w:val="both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t>应采取措施保障室内热环境。本建筑采用非集中供暖空调系统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，部分房间采用通风率为22%的通风地板</w:t>
      </w: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提供</w:t>
      </w: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t>保障室内热环境的措施或预留条件。</w:t>
      </w:r>
    </w:p>
    <w:p>
      <w:pPr>
        <w:numPr>
          <w:ilvl w:val="0"/>
          <w:numId w:val="3"/>
        </w:numPr>
        <w:spacing w:line="240" w:lineRule="auto"/>
        <w:ind w:left="450" w:leftChars="100" w:hanging="240" w:hangingChars="100"/>
        <w:jc w:val="both"/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建筑</w:t>
      </w: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t>建筑采用可开启外窗通风，可开启面积不小于外窗总面积的 30%。幕墙具有可开启部分。</w:t>
      </w:r>
    </w:p>
    <w:p>
      <w:pPr>
        <w:numPr>
          <w:ilvl w:val="0"/>
          <w:numId w:val="3"/>
        </w:numPr>
        <w:spacing w:line="240" w:lineRule="auto"/>
        <w:ind w:left="450" w:leftChars="100" w:hanging="240" w:hangingChars="100"/>
        <w:jc w:val="both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4"/>
          <w:sz w:val="24"/>
          <w:szCs w:val="24"/>
        </w:rPr>
        <w:t>在疫情后我们开始考虑空间转换，通过移动移动隔墙技术进行日常与疫情的切换，室内空间的转换移动隔墙具有良好的气密性与加载HEPA滤网的中央空调能够完成医用</w:t>
      </w:r>
      <w:r>
        <w:rPr>
          <w:rFonts w:hint="eastAsia" w:ascii="宋体" w:hAnsi="宋体" w:eastAsia="宋体" w:cs="宋体"/>
          <w:b w:val="0"/>
          <w:bCs w:val="0"/>
          <w:color w:val="000000"/>
          <w:kern w:val="24"/>
          <w:sz w:val="24"/>
          <w:szCs w:val="24"/>
        </w:rPr>
        <w:t>负压室</w:t>
      </w:r>
      <w:r>
        <w:rPr>
          <w:rFonts w:hint="eastAsia" w:ascii="宋体" w:hAnsi="宋体" w:eastAsia="宋体" w:cs="宋体"/>
          <w:color w:val="000000"/>
          <w:kern w:val="24"/>
          <w:sz w:val="24"/>
          <w:szCs w:val="24"/>
        </w:rPr>
        <w:t>的构建，在疫情期间能够有效的避免病毒的传播。也可用于地震后应急医疗的构建。</w:t>
      </w:r>
    </w:p>
    <w:p>
      <w:pPr>
        <w:numPr>
          <w:ilvl w:val="0"/>
          <w:numId w:val="3"/>
        </w:numPr>
        <w:spacing w:line="240" w:lineRule="auto"/>
        <w:ind w:left="450" w:leftChars="100" w:hanging="240" w:hangingChars="100"/>
        <w:jc w:val="both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通过</w:t>
      </w: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t>调整</w:t>
      </w: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fldChar w:fldCharType="begin"/>
      </w: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instrText xml:space="preserve"> HYPERLINK "https://baike.baidu.com/item/%E5%A4%AA%E9%98%B3%E8%83%BD%E7%94%B5%E6%B1%A0%E6%9D%BF/2982556?fromModule=lemma_inlink" \t "https://baike.baidu.com/item/%E5%A4%AA%E9%98%B3%E8%B7%9F%E8%B8%AA%E8%A3%85%E7%BD%AE/_blank" </w:instrText>
      </w: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fldChar w:fldCharType="separate"/>
      </w: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t>太阳能电池板</w:t>
      </w: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使其</w:t>
      </w: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t>以最大角度接受太阳能，实现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光伏追踪</w:t>
      </w: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3"/>
        </w:numPr>
        <w:spacing w:line="240" w:lineRule="auto"/>
        <w:ind w:left="450" w:leftChars="100" w:hanging="240" w:hangingChars="100"/>
        <w:jc w:val="both"/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建筑入口</w:t>
      </w: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t>设置合理、方便出入。</w:t>
      </w:r>
    </w:p>
    <w:p>
      <w:pPr>
        <w:numPr>
          <w:ilvl w:val="0"/>
          <w:numId w:val="3"/>
        </w:numPr>
        <w:spacing w:line="240" w:lineRule="auto"/>
        <w:ind w:left="450" w:leftChars="100" w:hanging="240" w:hangingChars="100"/>
        <w:jc w:val="both"/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材料选用</w:t>
      </w:r>
    </w:p>
    <w:p>
      <w:pPr>
        <w:pStyle w:val="18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 w:firstLine="480" w:firstLineChars="200"/>
        <w:jc w:val="left"/>
        <w:rPr>
          <w:rFonts w:hint="default" w:eastAsiaTheme="minorEastAsia"/>
          <w:kern w:val="2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A.使用地源热泵系统供暖制冷，保持全年温度恒定，</w:t>
      </w:r>
      <w:r>
        <w:rPr>
          <w:rFonts w:hint="eastAsia" w:ascii="宋体" w:hAnsi="宋体" w:eastAsia="宋体" w:cs="宋体"/>
          <w:color w:val="000000"/>
          <w:kern w:val="24"/>
          <w:sz w:val="24"/>
          <w:szCs w:val="24"/>
        </w:rPr>
        <w:t>夏季通过循环介质把地下的冷汲取出来供冷，同时把地上的热输入地下。冬季通过循环介质把地下的热汲取出来供热，同时把地上的冷输入地下。</w:t>
      </w:r>
    </w:p>
    <w:p>
      <w:pPr>
        <w:pStyle w:val="18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4"/>
          <w:sz w:val="24"/>
          <w:szCs w:val="24"/>
          <w:lang w:val="en-US" w:eastAsia="zh-CN"/>
        </w:rPr>
        <w:t>B.</w:t>
      </w:r>
      <w:r>
        <w:rPr>
          <w:rFonts w:hint="eastAsia" w:ascii="宋体" w:hAnsi="宋体" w:eastAsia="宋体" w:cs="宋体"/>
          <w:b w:val="0"/>
          <w:bCs w:val="0"/>
          <w:color w:val="000000"/>
          <w:kern w:val="24"/>
          <w:sz w:val="24"/>
          <w:szCs w:val="24"/>
        </w:rPr>
        <w:t>太阳能窗帘是在窗帘上添加一种柔性的太阳电池板。这样既不影响窗帘的正常使用，还能在拉上窗帘的同时吸收太阳能并将其储存以备日后使用。若将房屋的四周都用这种窗帘来覆盖，那么一天将能够产生约16度的电能，足够一般家庭的使用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</w:pPr>
      <w:bookmarkStart w:id="15" w:name="_GoBack"/>
      <w:bookmarkEnd w:id="15"/>
    </w:p>
    <w:p>
      <w:pPr>
        <w:autoSpaceDE w:val="0"/>
        <w:autoSpaceDN w:val="0"/>
        <w:adjustRightInd w:val="0"/>
        <w:snapToGrid w:val="0"/>
        <w:rPr>
          <w:kern w:val="2"/>
          <w:szCs w:val="21"/>
          <w:lang w:val="en-US"/>
        </w:rPr>
      </w:pPr>
    </w:p>
    <w:p>
      <w:pPr>
        <w:autoSpaceDE w:val="0"/>
        <w:autoSpaceDN w:val="0"/>
        <w:adjustRightInd w:val="0"/>
        <w:snapToGrid w:val="0"/>
        <w:rPr>
          <w:kern w:val="2"/>
          <w:szCs w:val="21"/>
          <w:lang w:val="en-US"/>
        </w:rPr>
      </w:pPr>
    </w:p>
    <w:p>
      <w:pPr>
        <w:autoSpaceDE w:val="0"/>
        <w:autoSpaceDN w:val="0"/>
        <w:adjustRightInd w:val="0"/>
        <w:snapToGrid w:val="0"/>
        <w:rPr>
          <w:kern w:val="2"/>
          <w:szCs w:val="21"/>
          <w:lang w:val="en-US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40" w:right="1418" w:bottom="1440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宋体" w:hAnsi="宋体"/>
        <w:szCs w:val="21"/>
      </w:rPr>
    </w:pPr>
    <w:r>
      <w:rPr>
        <w:rFonts w:hint="eastAsia" w:ascii="宋体" w:hAnsi="宋体"/>
        <w:szCs w:val="21"/>
      </w:rPr>
      <w:t xml:space="preserve">第 </w:t>
    </w:r>
    <w:r>
      <w:rPr>
        <w:rStyle w:val="22"/>
        <w:rFonts w:ascii="宋体" w:hAnsi="宋体"/>
        <w:szCs w:val="21"/>
      </w:rPr>
      <w:fldChar w:fldCharType="begin"/>
    </w:r>
    <w:r>
      <w:rPr>
        <w:rStyle w:val="22"/>
        <w:rFonts w:ascii="宋体" w:hAnsi="宋体"/>
        <w:szCs w:val="21"/>
      </w:rPr>
      <w:instrText xml:space="preserve"> PAGE </w:instrText>
    </w:r>
    <w:r>
      <w:rPr>
        <w:rStyle w:val="22"/>
        <w:rFonts w:ascii="宋体" w:hAnsi="宋体"/>
        <w:szCs w:val="21"/>
      </w:rPr>
      <w:fldChar w:fldCharType="separate"/>
    </w:r>
    <w:r>
      <w:rPr>
        <w:rStyle w:val="22"/>
        <w:rFonts w:ascii="宋体" w:hAnsi="宋体"/>
        <w:szCs w:val="21"/>
      </w:rPr>
      <w:t>2</w:t>
    </w:r>
    <w:r>
      <w:rPr>
        <w:rStyle w:val="22"/>
        <w:rFonts w:ascii="宋体" w:hAnsi="宋体"/>
        <w:szCs w:val="21"/>
      </w:rPr>
      <w:fldChar w:fldCharType="end"/>
    </w:r>
    <w:r>
      <w:rPr>
        <w:rStyle w:val="22"/>
        <w:rFonts w:hint="eastAsia" w:ascii="宋体" w:hAnsi="宋体"/>
        <w:szCs w:val="21"/>
      </w:rPr>
      <w:t xml:space="preserve"> / </w:t>
    </w:r>
    <w:r>
      <w:rPr>
        <w:rStyle w:val="22"/>
        <w:rFonts w:ascii="宋体" w:hAnsi="宋体"/>
        <w:szCs w:val="21"/>
      </w:rPr>
      <w:fldChar w:fldCharType="begin"/>
    </w:r>
    <w:r>
      <w:rPr>
        <w:rStyle w:val="22"/>
        <w:rFonts w:ascii="宋体" w:hAnsi="宋体"/>
        <w:szCs w:val="21"/>
      </w:rPr>
      <w:instrText xml:space="preserve"> NUMPAGES </w:instrText>
    </w:r>
    <w:r>
      <w:rPr>
        <w:rStyle w:val="22"/>
        <w:rFonts w:ascii="宋体" w:hAnsi="宋体"/>
        <w:szCs w:val="21"/>
      </w:rPr>
      <w:fldChar w:fldCharType="separate"/>
    </w:r>
    <w:r>
      <w:rPr>
        <w:rStyle w:val="22"/>
        <w:rFonts w:ascii="宋体" w:hAnsi="宋体"/>
        <w:szCs w:val="21"/>
      </w:rPr>
      <w:t>3</w:t>
    </w:r>
    <w:r>
      <w:rPr>
        <w:rStyle w:val="22"/>
        <w:rFonts w:ascii="宋体" w:hAnsi="宋体"/>
        <w:szCs w:val="21"/>
      </w:rPr>
      <w:fldChar w:fldCharType="end"/>
    </w:r>
    <w:r>
      <w:rPr>
        <w:rStyle w:val="22"/>
        <w:rFonts w:hint="eastAsia" w:ascii="宋体" w:hAnsi="宋体"/>
        <w:szCs w:val="21"/>
      </w:rPr>
      <w:t xml:space="preserve"> </w:t>
    </w:r>
    <w:r>
      <w:rPr>
        <w:rFonts w:hint="eastAsia" w:ascii="宋体" w:hAnsi="宋体"/>
        <w:szCs w:val="21"/>
      </w:rPr>
      <w:t xml:space="preserve">页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rPr>
        <w:rFonts w:hint="eastAsia" w:ascii="宋体" w:hAnsi="宋体"/>
        <w:szCs w:val="21"/>
      </w:rPr>
      <w:t xml:space="preserve">第 </w:t>
    </w:r>
    <w:r>
      <w:rPr>
        <w:rStyle w:val="22"/>
        <w:rFonts w:ascii="宋体" w:hAnsi="宋体"/>
        <w:szCs w:val="21"/>
      </w:rPr>
      <w:fldChar w:fldCharType="begin"/>
    </w:r>
    <w:r>
      <w:rPr>
        <w:rStyle w:val="22"/>
        <w:rFonts w:ascii="宋体" w:hAnsi="宋体"/>
        <w:szCs w:val="21"/>
      </w:rPr>
      <w:instrText xml:space="preserve"> PAGE </w:instrText>
    </w:r>
    <w:r>
      <w:rPr>
        <w:rStyle w:val="22"/>
        <w:rFonts w:ascii="宋体" w:hAnsi="宋体"/>
        <w:szCs w:val="21"/>
      </w:rPr>
      <w:fldChar w:fldCharType="separate"/>
    </w:r>
    <w:r>
      <w:rPr>
        <w:rStyle w:val="22"/>
        <w:rFonts w:ascii="宋体" w:hAnsi="宋体"/>
        <w:szCs w:val="21"/>
      </w:rPr>
      <w:t>3</w:t>
    </w:r>
    <w:r>
      <w:rPr>
        <w:rStyle w:val="22"/>
        <w:rFonts w:ascii="宋体" w:hAnsi="宋体"/>
        <w:szCs w:val="21"/>
      </w:rPr>
      <w:fldChar w:fldCharType="end"/>
    </w:r>
    <w:r>
      <w:rPr>
        <w:rStyle w:val="22"/>
        <w:rFonts w:hint="eastAsia" w:ascii="宋体" w:hAnsi="宋体"/>
        <w:szCs w:val="21"/>
      </w:rPr>
      <w:t xml:space="preserve"> / </w:t>
    </w:r>
    <w:r>
      <w:rPr>
        <w:rStyle w:val="22"/>
        <w:rFonts w:ascii="宋体" w:hAnsi="宋体"/>
        <w:szCs w:val="21"/>
      </w:rPr>
      <w:fldChar w:fldCharType="begin"/>
    </w:r>
    <w:r>
      <w:rPr>
        <w:rStyle w:val="22"/>
        <w:rFonts w:ascii="宋体" w:hAnsi="宋体"/>
        <w:szCs w:val="21"/>
      </w:rPr>
      <w:instrText xml:space="preserve"> NUMPAGES </w:instrText>
    </w:r>
    <w:r>
      <w:rPr>
        <w:rStyle w:val="22"/>
        <w:rFonts w:ascii="宋体" w:hAnsi="宋体"/>
        <w:szCs w:val="21"/>
      </w:rPr>
      <w:fldChar w:fldCharType="separate"/>
    </w:r>
    <w:r>
      <w:rPr>
        <w:rStyle w:val="22"/>
        <w:rFonts w:ascii="宋体" w:hAnsi="宋体"/>
        <w:szCs w:val="21"/>
      </w:rPr>
      <w:t>3</w:t>
    </w:r>
    <w:r>
      <w:rPr>
        <w:rStyle w:val="22"/>
        <w:rFonts w:ascii="宋体" w:hAnsi="宋体"/>
        <w:szCs w:val="21"/>
      </w:rPr>
      <w:fldChar w:fldCharType="end"/>
    </w:r>
    <w:r>
      <w:rPr>
        <w:rStyle w:val="22"/>
        <w:rFonts w:hint="eastAsia" w:ascii="宋体" w:hAnsi="宋体"/>
        <w:szCs w:val="21"/>
      </w:rPr>
      <w:t xml:space="preserve"> </w:t>
    </w:r>
    <w:r>
      <w:rPr>
        <w:rFonts w:hint="eastAsia" w:ascii="宋体" w:hAnsi="宋体"/>
        <w:szCs w:val="21"/>
      </w:rPr>
      <w:t xml:space="preserve">页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宋体" w:hAnsi="宋体"/>
        <w:szCs w:val="21"/>
      </w:rPr>
    </w:pPr>
    <w:r>
      <w:rPr>
        <w:rFonts w:hint="eastAsia" w:ascii="宋体" w:hAnsi="宋体"/>
        <w:szCs w:val="21"/>
      </w:rPr>
      <w:t xml:space="preserve">第 </w:t>
    </w:r>
    <w:r>
      <w:rPr>
        <w:rStyle w:val="22"/>
        <w:rFonts w:ascii="宋体" w:hAnsi="宋体"/>
        <w:szCs w:val="21"/>
      </w:rPr>
      <w:fldChar w:fldCharType="begin"/>
    </w:r>
    <w:r>
      <w:rPr>
        <w:rStyle w:val="22"/>
        <w:rFonts w:ascii="宋体" w:hAnsi="宋体"/>
        <w:szCs w:val="21"/>
      </w:rPr>
      <w:instrText xml:space="preserve"> PAGE </w:instrText>
    </w:r>
    <w:r>
      <w:rPr>
        <w:rStyle w:val="22"/>
        <w:rFonts w:ascii="宋体" w:hAnsi="宋体"/>
        <w:szCs w:val="21"/>
      </w:rPr>
      <w:fldChar w:fldCharType="separate"/>
    </w:r>
    <w:r>
      <w:rPr>
        <w:rStyle w:val="22"/>
        <w:rFonts w:ascii="宋体" w:hAnsi="宋体"/>
        <w:szCs w:val="21"/>
      </w:rPr>
      <w:t>2</w:t>
    </w:r>
    <w:r>
      <w:rPr>
        <w:rStyle w:val="22"/>
        <w:rFonts w:ascii="宋体" w:hAnsi="宋体"/>
        <w:szCs w:val="21"/>
      </w:rPr>
      <w:fldChar w:fldCharType="end"/>
    </w:r>
    <w:r>
      <w:rPr>
        <w:rStyle w:val="22"/>
        <w:rFonts w:hint="eastAsia" w:ascii="宋体" w:hAnsi="宋体"/>
        <w:szCs w:val="21"/>
      </w:rPr>
      <w:t xml:space="preserve"> / </w:t>
    </w:r>
    <w:r>
      <w:rPr>
        <w:rStyle w:val="22"/>
        <w:rFonts w:ascii="宋体" w:hAnsi="宋体"/>
        <w:szCs w:val="21"/>
      </w:rPr>
      <w:fldChar w:fldCharType="begin"/>
    </w:r>
    <w:r>
      <w:rPr>
        <w:rStyle w:val="22"/>
        <w:rFonts w:ascii="宋体" w:hAnsi="宋体"/>
        <w:szCs w:val="21"/>
      </w:rPr>
      <w:instrText xml:space="preserve"> NUMPAGES </w:instrText>
    </w:r>
    <w:r>
      <w:rPr>
        <w:rStyle w:val="22"/>
        <w:rFonts w:ascii="宋体" w:hAnsi="宋体"/>
        <w:szCs w:val="21"/>
      </w:rPr>
      <w:fldChar w:fldCharType="separate"/>
    </w:r>
    <w:r>
      <w:rPr>
        <w:rStyle w:val="22"/>
        <w:rFonts w:ascii="宋体" w:hAnsi="宋体"/>
        <w:szCs w:val="21"/>
      </w:rPr>
      <w:t>3</w:t>
    </w:r>
    <w:r>
      <w:rPr>
        <w:rStyle w:val="22"/>
        <w:rFonts w:ascii="宋体" w:hAnsi="宋体"/>
        <w:szCs w:val="21"/>
      </w:rPr>
      <w:fldChar w:fldCharType="end"/>
    </w:r>
    <w:r>
      <w:rPr>
        <w:rStyle w:val="22"/>
        <w:rFonts w:hint="eastAsia" w:ascii="宋体" w:hAnsi="宋体"/>
        <w:szCs w:val="21"/>
      </w:rPr>
      <w:t xml:space="preserve"> </w:t>
    </w:r>
    <w:r>
      <w:rPr>
        <w:rFonts w:hint="eastAsia" w:ascii="宋体" w:hAnsi="宋体"/>
        <w:szCs w:val="21"/>
      </w:rPr>
      <w:t xml:space="preserve">页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</w:pPr>
    <w:r>
      <w:rPr>
        <w:lang w:val="en-US"/>
      </w:rPr>
      <w:drawing>
        <wp:inline distT="0" distB="0" distL="0" distR="0">
          <wp:extent cx="855980" cy="16065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</w:pPr>
    <w:r>
      <w:rPr>
        <w:lang w:val="en-US"/>
      </w:rPr>
      <w:drawing>
        <wp:inline distT="0" distB="0" distL="0" distR="0">
          <wp:extent cx="855980" cy="16065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BD2688"/>
    <w:multiLevelType w:val="singleLevel"/>
    <w:tmpl w:val="ACBD268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2AC24281"/>
    <w:multiLevelType w:val="singleLevel"/>
    <w:tmpl w:val="2AC24281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5NjQyOTI5YWRmMjM3NDM1MThlNjkwMzUzNTNkMDgifQ=="/>
  </w:docVars>
  <w:rsids>
    <w:rsidRoot w:val="00251E9F"/>
    <w:rsid w:val="000730E7"/>
    <w:rsid w:val="0007324E"/>
    <w:rsid w:val="000C650F"/>
    <w:rsid w:val="000D593E"/>
    <w:rsid w:val="000E2E24"/>
    <w:rsid w:val="000F7EF2"/>
    <w:rsid w:val="0010335A"/>
    <w:rsid w:val="00136AB2"/>
    <w:rsid w:val="00136C0F"/>
    <w:rsid w:val="001462C8"/>
    <w:rsid w:val="001A784D"/>
    <w:rsid w:val="001D4779"/>
    <w:rsid w:val="00215607"/>
    <w:rsid w:val="00230293"/>
    <w:rsid w:val="00251E9F"/>
    <w:rsid w:val="002555B8"/>
    <w:rsid w:val="00255E38"/>
    <w:rsid w:val="00280718"/>
    <w:rsid w:val="002833C3"/>
    <w:rsid w:val="002D602A"/>
    <w:rsid w:val="002F439E"/>
    <w:rsid w:val="002F4BD4"/>
    <w:rsid w:val="003121F7"/>
    <w:rsid w:val="003244C8"/>
    <w:rsid w:val="0035354A"/>
    <w:rsid w:val="00424199"/>
    <w:rsid w:val="00440906"/>
    <w:rsid w:val="00467891"/>
    <w:rsid w:val="004913B5"/>
    <w:rsid w:val="004A1234"/>
    <w:rsid w:val="004A5D78"/>
    <w:rsid w:val="004D230F"/>
    <w:rsid w:val="004D449D"/>
    <w:rsid w:val="005000CF"/>
    <w:rsid w:val="005215FB"/>
    <w:rsid w:val="005436D3"/>
    <w:rsid w:val="0057217A"/>
    <w:rsid w:val="005B2FBA"/>
    <w:rsid w:val="00621E01"/>
    <w:rsid w:val="00635016"/>
    <w:rsid w:val="00635F59"/>
    <w:rsid w:val="00665760"/>
    <w:rsid w:val="0066795D"/>
    <w:rsid w:val="00685ADE"/>
    <w:rsid w:val="006C751C"/>
    <w:rsid w:val="006D1A5E"/>
    <w:rsid w:val="006D701D"/>
    <w:rsid w:val="006F74D2"/>
    <w:rsid w:val="00717212"/>
    <w:rsid w:val="0073704D"/>
    <w:rsid w:val="0073724E"/>
    <w:rsid w:val="00752D50"/>
    <w:rsid w:val="00760FC1"/>
    <w:rsid w:val="00766CC2"/>
    <w:rsid w:val="0079662C"/>
    <w:rsid w:val="007C3FB2"/>
    <w:rsid w:val="0080048D"/>
    <w:rsid w:val="00853A1E"/>
    <w:rsid w:val="008C1FCF"/>
    <w:rsid w:val="00901BD4"/>
    <w:rsid w:val="00906525"/>
    <w:rsid w:val="00932182"/>
    <w:rsid w:val="00935D0D"/>
    <w:rsid w:val="00950AAE"/>
    <w:rsid w:val="009A1000"/>
    <w:rsid w:val="009C4D39"/>
    <w:rsid w:val="009F5A09"/>
    <w:rsid w:val="009F60E2"/>
    <w:rsid w:val="00AB413A"/>
    <w:rsid w:val="00B17718"/>
    <w:rsid w:val="00B51927"/>
    <w:rsid w:val="00B55B22"/>
    <w:rsid w:val="00B65BBF"/>
    <w:rsid w:val="00B83C6A"/>
    <w:rsid w:val="00B919FD"/>
    <w:rsid w:val="00B95B58"/>
    <w:rsid w:val="00BA4B07"/>
    <w:rsid w:val="00BB189B"/>
    <w:rsid w:val="00BE46DC"/>
    <w:rsid w:val="00C35E47"/>
    <w:rsid w:val="00C63237"/>
    <w:rsid w:val="00C66B69"/>
    <w:rsid w:val="00C97E25"/>
    <w:rsid w:val="00CC07EB"/>
    <w:rsid w:val="00D37979"/>
    <w:rsid w:val="00D40158"/>
    <w:rsid w:val="00D62A9A"/>
    <w:rsid w:val="00D724F9"/>
    <w:rsid w:val="00D758A7"/>
    <w:rsid w:val="00D903C9"/>
    <w:rsid w:val="00D9738B"/>
    <w:rsid w:val="00DC73AD"/>
    <w:rsid w:val="00DC756A"/>
    <w:rsid w:val="00E14263"/>
    <w:rsid w:val="00E30F2C"/>
    <w:rsid w:val="00E6109B"/>
    <w:rsid w:val="00E81ACD"/>
    <w:rsid w:val="00F329CC"/>
    <w:rsid w:val="00F3693D"/>
    <w:rsid w:val="00F53866"/>
    <w:rsid w:val="00F81FA2"/>
    <w:rsid w:val="00FA0367"/>
    <w:rsid w:val="00FA73B5"/>
    <w:rsid w:val="00FB25F0"/>
    <w:rsid w:val="00FD09D6"/>
    <w:rsid w:val="1A5961B1"/>
    <w:rsid w:val="35C14ABA"/>
    <w:rsid w:val="3CB04CEA"/>
    <w:rsid w:val="3DCE6DB5"/>
    <w:rsid w:val="4DA4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customStyle="1" w:styleId="24">
    <w:name w:val="页脚 字符"/>
    <w:link w:val="14"/>
    <w:qFormat/>
    <w:uiPriority w:val="99"/>
    <w:rPr>
      <w:sz w:val="21"/>
      <w:szCs w:val="18"/>
      <w:lang w:val="en-GB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Company>ths</Company>
  <Pages>3</Pages>
  <Words>1156</Words>
  <Characters>1418</Characters>
  <Lines>29</Lines>
  <Paragraphs>8</Paragraphs>
  <TotalTime>0</TotalTime>
  <ScaleCrop>false</ScaleCrop>
  <LinksUpToDate>false</LinksUpToDate>
  <CharactersWithSpaces>1445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2020-12-15T03:08:00Z</dcterms:created>
  <dc:creator>hus</dc:creator>
  <cp:lastModifiedBy>杨 2 3.</cp:lastModifiedBy>
  <cp:lastPrinted>2411-12-31T16:00:00Z</cp:lastPrinted>
  <dcterms:modified xsi:type="dcterms:W3CDTF">2023-02-28T11:26:11Z</dcterms:modified>
  <dc:title>结露检查计算书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90B28DE4F4544DC882C0BD13AF398D8F</vt:lpwstr>
  </property>
</Properties>
</file>