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51"/>
        <w:jc w:val="center"/>
        <w:rPr>
          <w:rFonts w:hint="eastAsia" w:ascii="黑体" w:hAnsi="黑体" w:eastAsia="黑体" w:cs="黑体"/>
          <w:sz w:val="72"/>
        </w:rPr>
      </w:pPr>
      <w:r>
        <w:rPr>
          <w:rFonts w:hint="eastAsia" w:ascii="黑体" w:hAnsi="黑体" w:eastAsia="黑体" w:cs="黑体"/>
          <w:sz w:val="72"/>
        </w:rPr>
        <w:t>绿色建筑之居住建筑室内通风评价报告书</w:t>
      </w:r>
    </w:p>
    <w:p>
      <w:pPr>
        <w:spacing w:after="51"/>
        <w:jc w:val="center"/>
        <w:rPr>
          <w:rFonts w:hint="eastAsia" w:ascii="黑体" w:hAnsi="黑体" w:eastAsia="黑体" w:cs="黑体"/>
          <w:sz w:val="72"/>
        </w:rPr>
      </w:pPr>
    </w:p>
    <w:tbl>
      <w:tblPr>
        <w:tblStyle w:val="10"/>
        <w:tblW w:w="5447" w:type="dxa"/>
        <w:tblInd w:w="1234" w:type="dxa"/>
        <w:tblLayout w:type="autofit"/>
        <w:tblCellMar>
          <w:top w:w="39" w:type="dxa"/>
          <w:left w:w="105" w:type="dxa"/>
          <w:bottom w:w="0" w:type="dxa"/>
          <w:right w:w="115" w:type="dxa"/>
        </w:tblCellMar>
      </w:tblPr>
      <w:tblGrid>
        <w:gridCol w:w="1667"/>
        <w:gridCol w:w="3780"/>
      </w:tblGrid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91" w:hRule="atLeast"/>
        </w:trPr>
        <w:tc>
          <w:tcPr>
            <w:tcW w:w="1667" w:type="dxa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项目名称</w:t>
            </w:r>
          </w:p>
        </w:tc>
        <w:tc>
          <w:tcPr>
            <w:tcW w:w="3780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spacing w:after="0"/>
              <w:ind w:left="4"/>
            </w:pPr>
            <w:r>
              <w:rPr>
                <w:rFonts w:hint="eastAsia" w:ascii="宋体" w:hAnsi="宋体" w:eastAsia="宋体" w:cs="宋体"/>
                <w:sz w:val="18"/>
              </w:rPr>
              <w:t>海硕新城2</w:t>
            </w:r>
            <w:r>
              <w:rPr>
                <w:rFonts w:hint="eastAsia" w:ascii="宋体" w:hAnsi="宋体" w:eastAsia="宋体" w:cs="宋体"/>
                <w:sz w:val="18"/>
                <w:lang w:val="en-US" w:eastAsia="zh-CN"/>
              </w:rPr>
              <w:t>＃</w:t>
            </w:r>
            <w:r>
              <w:rPr>
                <w:rFonts w:hint="eastAsia" w:ascii="宋体" w:hAnsi="宋体" w:eastAsia="宋体" w:cs="宋体"/>
                <w:sz w:val="18"/>
              </w:rPr>
              <w:t>楼</w:t>
            </w:r>
          </w:p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87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工程地点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spacing w:after="0"/>
              <w:ind w:left="4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河北省石家庄</w:t>
            </w:r>
          </w:p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300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设计编号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vAlign w:val="top"/>
          </w:tcPr>
          <w:p>
            <w:pPr>
              <w:spacing w:after="0"/>
              <w:ind w:left="4" w:leftChars="0"/>
              <w:rPr>
                <w:rFonts w:ascii="Calibri" w:hAnsi="Calibri" w:eastAsia="Calibri" w:cs="Calibri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A1130007941</w:t>
            </w:r>
          </w:p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88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建设单位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spacing w:after="0"/>
              <w:ind w:left="4"/>
            </w:pPr>
            <w:r>
              <w:rPr>
                <w:rFonts w:ascii="宋体" w:hAnsi="宋体" w:eastAsia="宋体" w:cs="宋体"/>
                <w:sz w:val="21"/>
              </w:rPr>
              <w:t>华北理工大学</w:t>
            </w:r>
          </w:p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87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设计单位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spacing w:after="0"/>
              <w:ind w:left="4"/>
            </w:pPr>
            <w:r>
              <w:rPr>
                <w:rFonts w:ascii="宋体" w:hAnsi="宋体" w:eastAsia="宋体" w:cs="宋体"/>
                <w:sz w:val="21"/>
              </w:rPr>
              <w:t>华北理工大学</w:t>
            </w:r>
          </w:p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88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设 计 人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/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88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校 对 人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/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87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审 核 人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/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88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审 定 人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/>
        </w:tc>
      </w:tr>
      <w:tr>
        <w:tblPrEx>
          <w:tblCellMar>
            <w:top w:w="39" w:type="dxa"/>
            <w:left w:w="105" w:type="dxa"/>
            <w:bottom w:w="0" w:type="dxa"/>
            <w:right w:w="115" w:type="dxa"/>
          </w:tblCellMar>
        </w:tblPrEx>
        <w:trPr>
          <w:trHeight w:val="294" w:hRule="atLeast"/>
        </w:trPr>
        <w:tc>
          <w:tcPr>
            <w:tcW w:w="1667" w:type="dxa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21"/>
              </w:rPr>
              <w:t>设计日期</w:t>
            </w:r>
          </w:p>
        </w:tc>
        <w:tc>
          <w:tcPr>
            <w:tcW w:w="3780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</w:tcPr>
          <w:p>
            <w:pPr>
              <w:spacing w:after="0"/>
              <w:ind w:left="4"/>
            </w:pPr>
            <w:r>
              <w:rPr>
                <w:rFonts w:ascii="宋体" w:hAnsi="宋体" w:eastAsia="宋体" w:cs="宋体"/>
                <w:sz w:val="21"/>
              </w:rPr>
              <w:t>202</w:t>
            </w:r>
            <w:r>
              <w:rPr>
                <w:rFonts w:hint="eastAsia" w:ascii="宋体" w:hAnsi="宋体" w:eastAsia="宋体" w:cs="宋体"/>
                <w:sz w:val="21"/>
              </w:rPr>
              <w:t>2</w:t>
            </w:r>
            <w:r>
              <w:rPr>
                <w:rFonts w:ascii="宋体" w:hAnsi="宋体" w:eastAsia="宋体" w:cs="宋体"/>
                <w:sz w:val="21"/>
              </w:rPr>
              <w:t>年</w:t>
            </w:r>
            <w:r>
              <w:rPr>
                <w:rFonts w:hint="eastAsia" w:ascii="宋体" w:hAnsi="宋体" w:eastAsia="宋体" w:cs="宋体"/>
                <w:sz w:val="21"/>
                <w:lang w:val="en-US" w:eastAsia="zh-CN"/>
              </w:rPr>
              <w:t>12</w:t>
            </w:r>
            <w:r>
              <w:rPr>
                <w:rFonts w:ascii="宋体" w:hAnsi="宋体" w:eastAsia="宋体" w:cs="宋体"/>
                <w:sz w:val="21"/>
              </w:rPr>
              <w:t>月</w:t>
            </w:r>
            <w:r>
              <w:rPr>
                <w:rFonts w:hint="eastAsia" w:ascii="宋体" w:hAnsi="宋体" w:eastAsia="宋体" w:cs="宋体"/>
                <w:sz w:val="21"/>
                <w:lang w:val="en-US" w:eastAsia="zh-CN"/>
              </w:rPr>
              <w:t>30</w:t>
            </w:r>
            <w:r>
              <w:rPr>
                <w:rFonts w:ascii="宋体" w:hAnsi="宋体" w:eastAsia="宋体" w:cs="宋体"/>
                <w:sz w:val="21"/>
              </w:rPr>
              <w:t>日</w:t>
            </w:r>
          </w:p>
        </w:tc>
      </w:tr>
    </w:tbl>
    <w:p>
      <w:pPr>
        <w:spacing w:after="986"/>
        <w:ind w:left="2582"/>
      </w:pPr>
    </w:p>
    <w:tbl>
      <w:tblPr>
        <w:tblStyle w:val="10"/>
        <w:tblW w:w="5577" w:type="dxa"/>
        <w:tblInd w:w="1169" w:type="dxa"/>
        <w:tblLayout w:type="autofit"/>
        <w:tblCellMar>
          <w:top w:w="39" w:type="dxa"/>
          <w:left w:w="106" w:type="dxa"/>
          <w:bottom w:w="0" w:type="dxa"/>
          <w:right w:w="115" w:type="dxa"/>
        </w:tblCellMar>
      </w:tblPr>
      <w:tblGrid>
        <w:gridCol w:w="1797"/>
        <w:gridCol w:w="3780"/>
      </w:tblGrid>
      <w:tr>
        <w:trPr>
          <w:trHeight w:val="326" w:hRule="atLeast"/>
        </w:trPr>
        <w:tc>
          <w:tcPr>
            <w:tcW w:w="179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18"/>
              </w:rPr>
              <w:t>采用软件</w:t>
            </w:r>
          </w:p>
        </w:tc>
        <w:tc>
          <w:tcPr>
            <w:tcW w:w="3780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after="0"/>
              <w:ind w:left="3"/>
              <w:rPr>
                <w:rFonts w:hint="eastAsia" w:eastAsia="宋体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</w:rPr>
              <w:t>绿建斯维尔建筑通风Vent202</w:t>
            </w:r>
            <w:r>
              <w:rPr>
                <w:rFonts w:hint="eastAsia" w:ascii="宋体" w:hAnsi="宋体" w:eastAsia="宋体" w:cs="宋体"/>
                <w:sz w:val="18"/>
                <w:lang w:val="en-US" w:eastAsia="zh-CN"/>
              </w:rPr>
              <w:t>2</w:t>
            </w:r>
          </w:p>
        </w:tc>
      </w:tr>
      <w:tr>
        <w:tblPrEx>
          <w:tblCellMar>
            <w:top w:w="39" w:type="dxa"/>
            <w:left w:w="106" w:type="dxa"/>
            <w:bottom w:w="0" w:type="dxa"/>
            <w:right w:w="115" w:type="dxa"/>
          </w:tblCellMar>
        </w:tblPrEx>
        <w:trPr>
          <w:trHeight w:val="350" w:hRule="atLeast"/>
        </w:trPr>
        <w:tc>
          <w:tcPr>
            <w:tcW w:w="179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18"/>
              </w:rPr>
              <w:t>软件版本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spacing w:after="0"/>
              <w:ind w:left="3"/>
              <w:rPr>
                <w:rFonts w:hint="default" w:eastAsia="等线"/>
                <w:lang w:val="en-US" w:eastAsia="zh-CN"/>
              </w:rPr>
            </w:pPr>
            <w:r>
              <w:rPr>
                <w:rFonts w:ascii="等线" w:hAnsi="等线" w:eastAsia="等线" w:cs="等线"/>
                <w:sz w:val="21"/>
              </w:rPr>
              <w:t>202</w:t>
            </w:r>
            <w:r>
              <w:rPr>
                <w:rFonts w:hint="eastAsia" w:ascii="等线" w:hAnsi="等线" w:eastAsia="等线" w:cs="等线"/>
                <w:sz w:val="21"/>
                <w:lang w:val="en-US" w:eastAsia="zh-CN"/>
              </w:rPr>
              <w:t>10808</w:t>
            </w:r>
          </w:p>
        </w:tc>
      </w:tr>
      <w:tr>
        <w:tblPrEx>
          <w:tblCellMar>
            <w:top w:w="39" w:type="dxa"/>
            <w:left w:w="106" w:type="dxa"/>
            <w:bottom w:w="0" w:type="dxa"/>
            <w:right w:w="115" w:type="dxa"/>
          </w:tblCellMar>
        </w:tblPrEx>
        <w:trPr>
          <w:trHeight w:val="415" w:hRule="atLeast"/>
        </w:trPr>
        <w:tc>
          <w:tcPr>
            <w:tcW w:w="179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E6E6E6"/>
            <w:vAlign w:val="center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18"/>
              </w:rPr>
              <w:t>研发单位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center"/>
          </w:tcPr>
          <w:p>
            <w:pPr>
              <w:spacing w:after="0"/>
              <w:ind w:left="3"/>
            </w:pPr>
            <w:r>
              <w:rPr>
                <w:rFonts w:ascii="宋体" w:hAnsi="宋体" w:eastAsia="宋体" w:cs="宋体"/>
                <w:sz w:val="18"/>
              </w:rPr>
              <w:t>北京绿建软件股份有限公司</w:t>
            </w:r>
          </w:p>
        </w:tc>
      </w:tr>
      <w:tr>
        <w:tblPrEx>
          <w:tblCellMar>
            <w:top w:w="39" w:type="dxa"/>
            <w:left w:w="106" w:type="dxa"/>
            <w:bottom w:w="0" w:type="dxa"/>
            <w:right w:w="115" w:type="dxa"/>
          </w:tblCellMar>
        </w:tblPrEx>
        <w:trPr>
          <w:trHeight w:val="303" w:hRule="atLeast"/>
        </w:trPr>
        <w:tc>
          <w:tcPr>
            <w:tcW w:w="1797" w:type="dxa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E6E6E6"/>
          </w:tcPr>
          <w:p>
            <w:pPr>
              <w:spacing w:after="0"/>
            </w:pPr>
            <w:r>
              <w:rPr>
                <w:rFonts w:ascii="宋体" w:hAnsi="宋体" w:eastAsia="宋体" w:cs="宋体"/>
                <w:sz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</w:tcPr>
          <w:p>
            <w:pPr>
              <w:spacing w:after="0"/>
              <w:ind w:left="3"/>
            </w:pPr>
            <w:r>
              <w:rPr>
                <w:rFonts w:ascii="等线" w:hAnsi="等线" w:eastAsia="等线" w:cs="等线"/>
                <w:sz w:val="21"/>
              </w:rPr>
              <w:t>T17732568871</w:t>
            </w:r>
          </w:p>
        </w:tc>
      </w:tr>
    </w:tbl>
    <w:p>
      <w:pPr>
        <w:spacing w:after="0"/>
        <w:ind w:left="11"/>
        <w:jc w:val="center"/>
        <w:rPr>
          <w:rFonts w:ascii="宋体" w:hAnsi="宋体" w:eastAsia="宋体" w:cs="宋体"/>
          <w:sz w:val="44"/>
        </w:rPr>
      </w:pPr>
    </w:p>
    <w:p>
      <w:pPr>
        <w:spacing w:after="0"/>
        <w:ind w:left="11"/>
        <w:jc w:val="center"/>
        <w:rPr>
          <w:rFonts w:ascii="宋体" w:hAnsi="宋体" w:eastAsia="宋体" w:cs="宋体"/>
          <w:sz w:val="44"/>
        </w:rPr>
      </w:pPr>
    </w:p>
    <w:p>
      <w:pPr>
        <w:spacing w:after="0"/>
        <w:ind w:left="11"/>
        <w:jc w:val="center"/>
        <w:rPr>
          <w:rFonts w:ascii="宋体" w:hAnsi="宋体" w:eastAsia="宋体" w:cs="宋体"/>
          <w:sz w:val="44"/>
        </w:rPr>
      </w:pPr>
    </w:p>
    <w:p>
      <w:pPr>
        <w:spacing w:after="0"/>
        <w:ind w:left="11"/>
        <w:jc w:val="center"/>
        <w:rPr>
          <w:rFonts w:ascii="宋体" w:hAnsi="宋体" w:eastAsia="宋体" w:cs="宋体"/>
          <w:sz w:val="44"/>
        </w:rPr>
      </w:pPr>
    </w:p>
    <w:p>
      <w:pPr>
        <w:spacing w:after="0"/>
        <w:ind w:left="11"/>
        <w:jc w:val="center"/>
        <w:rPr>
          <w:rFonts w:ascii="宋体" w:hAnsi="宋体" w:eastAsia="宋体" w:cs="宋体"/>
          <w:sz w:val="44"/>
        </w:rPr>
      </w:pPr>
    </w:p>
    <w:p>
      <w:pPr>
        <w:spacing w:after="0"/>
        <w:ind w:left="11"/>
        <w:jc w:val="center"/>
        <w:rPr>
          <w:rFonts w:ascii="宋体" w:hAnsi="宋体" w:eastAsia="宋体" w:cs="宋体"/>
          <w:sz w:val="44"/>
        </w:rPr>
      </w:pPr>
    </w:p>
    <w:p>
      <w:pPr>
        <w:spacing w:after="0"/>
        <w:ind w:left="11"/>
        <w:jc w:val="center"/>
        <w:rPr>
          <w:rFonts w:ascii="宋体" w:hAnsi="宋体" w:eastAsia="宋体" w:cs="宋体"/>
          <w:sz w:val="44"/>
        </w:rPr>
      </w:pPr>
    </w:p>
    <w:p>
      <w:pPr>
        <w:spacing w:after="0"/>
        <w:ind w:left="11"/>
        <w:jc w:val="center"/>
      </w:pPr>
      <w:r>
        <w:rPr>
          <w:rFonts w:ascii="宋体" w:hAnsi="宋体" w:eastAsia="宋体" w:cs="宋体"/>
          <w:sz w:val="44"/>
        </w:rPr>
        <w:t>目录</w:t>
      </w:r>
    </w:p>
    <w:sdt>
      <w:sdtPr>
        <w:rPr>
          <w:rFonts w:ascii="Calibri" w:hAnsi="Calibri" w:eastAsia="Calibri" w:cs="Calibri"/>
          <w:sz w:val="22"/>
        </w:rPr>
        <w:id w:val="-1467805976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sz w:val="22"/>
        </w:rPr>
      </w:sdtEndPr>
      <w:sdtContent>
        <w:p>
          <w:pPr>
            <w:pStyle w:val="6"/>
            <w:tabs>
              <w:tab w:val="right" w:leader="dot" w:pos="7902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"_Toc196179" \h </w:instrText>
          </w:r>
          <w:r>
            <w:fldChar w:fldCharType="separate"/>
          </w:r>
          <w:r>
            <w:rPr>
              <w:rFonts w:ascii="黑体" w:hAnsi="黑体" w:eastAsia="黑体" w:cs="黑体"/>
            </w:rPr>
            <w:t xml:space="preserve">1. </w:t>
          </w:r>
          <w:r>
            <w:rPr>
              <w:rFonts w:ascii="宋体" w:hAnsi="宋体" w:eastAsia="宋体" w:cs="宋体"/>
            </w:rPr>
            <w:t>项目概况</w:t>
          </w:r>
          <w:r>
            <w:tab/>
          </w:r>
          <w:r>
            <w:fldChar w:fldCharType="begin"/>
          </w:r>
          <w:r>
            <w:instrText xml:space="preserve">PAGEREF _Toc196179 \h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"_Toc196180" \h </w:instrText>
          </w:r>
          <w:r>
            <w:fldChar w:fldCharType="separate"/>
          </w:r>
          <w:r>
            <w:t xml:space="preserve">1.1 </w:t>
          </w:r>
          <w:r>
            <w:rPr>
              <w:rFonts w:ascii="宋体" w:hAnsi="宋体" w:eastAsia="宋体" w:cs="宋体"/>
            </w:rPr>
            <w:t>建筑基本信息</w:t>
          </w:r>
          <w:r>
            <w:tab/>
          </w:r>
          <w:r>
            <w:fldChar w:fldCharType="begin"/>
          </w:r>
          <w:r>
            <w:instrText xml:space="preserve">PAGEREF _Toc196180 \h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"_Toc196181" \h </w:instrText>
          </w:r>
          <w:r>
            <w:fldChar w:fldCharType="separate"/>
          </w:r>
          <w:r>
            <w:t xml:space="preserve">1.2 </w:t>
          </w:r>
          <w:r>
            <w:rPr>
              <w:rFonts w:ascii="宋体" w:hAnsi="宋体" w:eastAsia="宋体" w:cs="宋体"/>
            </w:rPr>
            <w:t>建筑平面图</w:t>
          </w:r>
          <w:r>
            <w:tab/>
          </w:r>
          <w:r>
            <w:fldChar w:fldCharType="begin"/>
          </w:r>
          <w:r>
            <w:instrText xml:space="preserve">PAGEREF _Toc196181 \h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"_Toc196182" \h </w:instrText>
          </w:r>
          <w:r>
            <w:fldChar w:fldCharType="separate"/>
          </w:r>
          <w:r>
            <w:t xml:space="preserve">1.3 </w:t>
          </w:r>
          <w:r>
            <w:rPr>
              <w:rFonts w:ascii="宋体" w:hAnsi="宋体" w:eastAsia="宋体" w:cs="宋体"/>
            </w:rPr>
            <w:t>建筑三维轴测图</w:t>
          </w:r>
          <w:r>
            <w:tab/>
          </w:r>
          <w:r>
            <w:fldChar w:fldCharType="begin"/>
          </w:r>
          <w:r>
            <w:instrText xml:space="preserve">PAGEREF _Toc196182 \h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"_Toc196183" \h </w:instrText>
          </w:r>
          <w:r>
            <w:fldChar w:fldCharType="separate"/>
          </w:r>
          <w:r>
            <w:rPr>
              <w:rFonts w:ascii="Arial" w:hAnsi="Arial" w:eastAsia="Arial" w:cs="Arial"/>
            </w:rPr>
            <w:t xml:space="preserve">2 </w:t>
          </w:r>
          <w:r>
            <w:rPr>
              <w:rFonts w:ascii="宋体" w:hAnsi="宋体" w:eastAsia="宋体" w:cs="宋体"/>
            </w:rPr>
            <w:t>参考标准</w:t>
          </w:r>
          <w:r>
            <w:tab/>
          </w:r>
          <w:r>
            <w:fldChar w:fldCharType="begin"/>
          </w:r>
          <w:r>
            <w:instrText xml:space="preserve">PAGEREF _Toc196183 \h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"_Toc196184" \h </w:instrText>
          </w:r>
          <w:r>
            <w:fldChar w:fldCharType="separate"/>
          </w:r>
          <w:r>
            <w:rPr>
              <w:rFonts w:ascii="Arial" w:hAnsi="Arial" w:eastAsia="Arial" w:cs="Arial"/>
            </w:rPr>
            <w:t xml:space="preserve">3 </w:t>
          </w:r>
          <w:r>
            <w:rPr>
              <w:rFonts w:hint="eastAsia" w:ascii="Arial" w:hAnsi="Arial" w:eastAsia="宋体" w:cs="Arial"/>
              <w:lang w:val="en-US" w:eastAsia="zh-CN"/>
            </w:rPr>
            <w:t>创建剖面</w:t>
          </w:r>
          <w:r>
            <w:tab/>
          </w:r>
          <w:r>
            <w:rPr>
              <w:rFonts w:hint="eastAsia" w:eastAsia="宋体"/>
              <w:lang w:val="en-US" w:eastAsia="zh-CN"/>
            </w:rPr>
            <w:t>5</w:t>
          </w:r>
          <w:r>
            <w:fldChar w:fldCharType="end"/>
          </w:r>
        </w:p>
        <w:p>
          <w:pPr>
            <w:pStyle w:val="7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"_Toc196185" \h </w:instrText>
          </w:r>
          <w:r>
            <w:fldChar w:fldCharType="separate"/>
          </w:r>
          <w:r>
            <w:rPr>
              <w:rFonts w:ascii="Arial" w:hAnsi="Arial" w:eastAsia="Arial" w:cs="Arial"/>
            </w:rPr>
            <w:t xml:space="preserve">4 </w:t>
          </w:r>
          <w:r>
            <w:rPr>
              <w:rFonts w:hint="eastAsia" w:ascii="Arial" w:hAnsi="Arial" w:eastAsia="宋体" w:cs="Arial"/>
              <w:lang w:val="en-US" w:eastAsia="zh-CN"/>
            </w:rPr>
            <w:t>居住建筑室内自然通风</w:t>
          </w:r>
          <w:r>
            <w:tab/>
          </w:r>
          <w:r>
            <w:fldChar w:fldCharType="begin"/>
          </w:r>
          <w:r>
            <w:instrText xml:space="preserve">PAGEREF _Toc196185 \h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"_Toc196187" \h </w:instrText>
          </w:r>
          <w:r>
            <w:fldChar w:fldCharType="separate"/>
          </w:r>
          <w:r>
            <w:rPr>
              <w:rFonts w:hint="eastAsia" w:eastAsia="宋体"/>
              <w:lang w:val="en-US" w:eastAsia="zh-CN"/>
            </w:rPr>
            <w:t>4</w:t>
          </w:r>
          <w:r>
            <w:t xml:space="preserve">.1 </w:t>
          </w:r>
          <w:r>
            <w:rPr>
              <w:rFonts w:hint="eastAsia" w:eastAsia="宋体"/>
              <w:lang w:val="en-US" w:eastAsia="zh-CN"/>
            </w:rPr>
            <w:t>计算参数</w:t>
          </w:r>
          <w:r>
            <w:tab/>
          </w:r>
          <w:r>
            <w:fldChar w:fldCharType="begin"/>
          </w:r>
          <w:r>
            <w:instrText xml:space="preserve">PAGEREF _Toc196187 \h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"_Toc196188" \h </w:instrText>
          </w:r>
          <w:r>
            <w:fldChar w:fldCharType="separate"/>
          </w:r>
          <w:r>
            <w:rPr>
              <w:rFonts w:hint="eastAsia" w:eastAsia="宋体"/>
              <w:lang w:val="en-US" w:eastAsia="zh-CN"/>
            </w:rPr>
            <w:t>4.2 网格精度</w:t>
          </w:r>
          <w:r>
            <w:tab/>
          </w:r>
          <w:r>
            <w:fldChar w:fldCharType="begin"/>
          </w:r>
          <w:r>
            <w:instrText xml:space="preserve">PAGEREF _Toc196188 \h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"_Toc196188" \h </w:instrText>
          </w:r>
          <w:r>
            <w:fldChar w:fldCharType="separate"/>
          </w:r>
          <w:r>
            <w:rPr>
              <w:rFonts w:hint="eastAsia" w:eastAsia="宋体"/>
              <w:lang w:val="en-US" w:eastAsia="zh-CN"/>
            </w:rPr>
            <w:t>4.3 网格参数</w:t>
          </w:r>
          <w:r>
            <w:tab/>
          </w:r>
          <w:r>
            <w:fldChar w:fldCharType="begin"/>
          </w:r>
          <w:r>
            <w:instrText xml:space="preserve">PAGEREF _Toc196188 \h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"_Toc196188" \h </w:instrText>
          </w:r>
          <w:r>
            <w:fldChar w:fldCharType="separate"/>
          </w:r>
          <w:r>
            <w:rPr>
              <w:rFonts w:hint="eastAsia" w:eastAsia="宋体"/>
              <w:lang w:val="en-US" w:eastAsia="zh-CN"/>
            </w:rPr>
            <w:t>4.2 门窗风压</w:t>
          </w:r>
          <w:r>
            <w:tab/>
          </w:r>
          <w:r>
            <w:rPr>
              <w:rFonts w:hint="eastAsia" w:eastAsia="宋体"/>
              <w:lang w:val="en-US" w:eastAsia="zh-CN"/>
            </w:rPr>
            <w:t>7</w:t>
          </w:r>
          <w:r>
            <w:fldChar w:fldCharType="end"/>
          </w:r>
        </w:p>
        <w:p>
          <w:pPr>
            <w:pStyle w:val="6"/>
            <w:tabs>
              <w:tab w:val="right" w:leader="dot" w:pos="7902"/>
            </w:tabs>
          </w:pPr>
          <w:r>
            <w:fldChar w:fldCharType="begin"/>
          </w:r>
          <w:r>
            <w:instrText xml:space="preserve"> HYPERLINK \l "_Toc196186" \h </w:instrText>
          </w:r>
          <w:r>
            <w:fldChar w:fldCharType="separate"/>
          </w:r>
          <w:r>
            <w:rPr>
              <w:rFonts w:ascii="Arial" w:hAnsi="Arial" w:eastAsia="Arial" w:cs="Arial"/>
            </w:rPr>
            <w:t xml:space="preserve">5 </w:t>
          </w:r>
          <w:r>
            <w:rPr>
              <w:rFonts w:hint="eastAsia" w:ascii="Arial" w:hAnsi="Arial" w:eastAsia="宋体" w:cs="Arial"/>
              <w:lang w:val="en-US" w:eastAsia="zh-CN"/>
            </w:rPr>
            <w:t>结果管理</w:t>
          </w:r>
          <w:r>
            <w:tab/>
          </w:r>
          <w:r>
            <w:fldChar w:fldCharType="begin"/>
          </w:r>
          <w:r>
            <w:instrText xml:space="preserve">PAGEREF _Toc196186 \h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7902"/>
            </w:tabs>
          </w:pPr>
        </w:p>
        <w:p>
          <w:pPr>
            <w:jc w:val="center"/>
          </w:pPr>
          <w:r>
            <w:fldChar w:fldCharType="end"/>
          </w:r>
        </w:p>
      </w:sdtContent>
    </w:sdt>
    <w:p>
      <w:pPr>
        <w:tabs>
          <w:tab w:val="center" w:pos="4375"/>
          <w:tab w:val="center" w:pos="7351"/>
        </w:tabs>
        <w:spacing w:after="0"/>
        <w:jc w:val="center"/>
      </w:pPr>
      <w:r>
        <w:rPr>
          <w:rFonts w:ascii="宋体" w:hAnsi="宋体" w:eastAsia="宋体" w:cs="宋体"/>
          <w:sz w:val="20"/>
        </w:rPr>
        <w:t>第 2页 共12页</w:t>
      </w:r>
    </w:p>
    <w:p>
      <w:pPr>
        <w:sectPr>
          <w:pgSz w:w="11907" w:h="16839"/>
          <w:pgMar w:top="2357" w:right="1809" w:bottom="574" w:left="2196" w:header="720" w:footer="720" w:gutter="0"/>
          <w:cols w:space="720" w:num="1"/>
        </w:sectPr>
      </w:pPr>
    </w:p>
    <w:p>
      <w:pPr>
        <w:pStyle w:val="2"/>
        <w:spacing w:after="461"/>
        <w:ind w:left="31"/>
      </w:pPr>
      <w:bookmarkStart w:id="0" w:name="_Toc196179"/>
      <w:r>
        <w:t>1. 项目概况</w:t>
      </w:r>
      <w:bookmarkEnd w:id="0"/>
    </w:p>
    <w:p>
      <w:pPr>
        <w:pStyle w:val="3"/>
        <w:ind w:left="31"/>
      </w:pPr>
      <w:bookmarkStart w:id="1" w:name="_Toc196180"/>
      <w:r>
        <w:rPr>
          <w:rFonts w:ascii="Times New Roman" w:hAnsi="Times New Roman" w:eastAsia="Times New Roman" w:cs="Times New Roman"/>
          <w:b/>
        </w:rPr>
        <w:t xml:space="preserve">1.1 </w:t>
      </w:r>
      <w:r>
        <w:t>建筑基本信息</w:t>
      </w:r>
      <w:bookmarkEnd w:id="1"/>
    </w:p>
    <w:tbl>
      <w:tblPr>
        <w:tblStyle w:val="10"/>
        <w:tblW w:w="7646" w:type="dxa"/>
        <w:tblInd w:w="367" w:type="dxa"/>
        <w:tblLayout w:type="autofit"/>
        <w:tblCellMar>
          <w:top w:w="89" w:type="dxa"/>
          <w:left w:w="186" w:type="dxa"/>
          <w:bottom w:w="0" w:type="dxa"/>
          <w:right w:w="186" w:type="dxa"/>
        </w:tblCellMar>
      </w:tblPr>
      <w:tblGrid>
        <w:gridCol w:w="1410"/>
        <w:gridCol w:w="2552"/>
        <w:gridCol w:w="1133"/>
        <w:gridCol w:w="2551"/>
      </w:tblGrid>
      <w:tr>
        <w:tblPrEx>
          <w:tblCellMar>
            <w:top w:w="89" w:type="dxa"/>
            <w:left w:w="186" w:type="dxa"/>
            <w:bottom w:w="0" w:type="dxa"/>
            <w:right w:w="186" w:type="dxa"/>
          </w:tblCellMar>
        </w:tblPrEx>
        <w:trPr>
          <w:trHeight w:val="318" w:hRule="atLeast"/>
        </w:trPr>
        <w:tc>
          <w:tcPr>
            <w:tcW w:w="1410" w:type="dxa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BEBEBE"/>
          </w:tcPr>
          <w:p>
            <w:pPr>
              <w:spacing w:after="0"/>
              <w:ind w:left="136"/>
            </w:pPr>
            <w:r>
              <w:rPr>
                <w:rFonts w:ascii="宋体" w:hAnsi="宋体" w:eastAsia="宋体" w:cs="宋体"/>
                <w:sz w:val="19"/>
              </w:rPr>
              <w:t>建筑用途</w:t>
            </w:r>
          </w:p>
        </w:tc>
        <w:tc>
          <w:tcPr>
            <w:tcW w:w="2552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0"/>
              <w:ind w:right="191"/>
              <w:jc w:val="center"/>
            </w:pPr>
            <w:r>
              <w:rPr>
                <w:rFonts w:ascii="宋体" w:hAnsi="宋体" w:eastAsia="宋体" w:cs="宋体"/>
                <w:sz w:val="19"/>
              </w:rPr>
              <w:t>居住建筑</w:t>
            </w:r>
          </w:p>
        </w:tc>
        <w:tc>
          <w:tcPr>
            <w:tcW w:w="1133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EBEBE"/>
          </w:tcPr>
          <w:p>
            <w:pPr>
              <w:spacing w:after="0"/>
              <w:ind w:left="190"/>
            </w:pPr>
            <w:r>
              <w:rPr>
                <w:rFonts w:ascii="宋体" w:hAnsi="宋体" w:eastAsia="宋体" w:cs="宋体"/>
                <w:sz w:val="19"/>
              </w:rPr>
              <w:t>地区</w:t>
            </w:r>
          </w:p>
        </w:tc>
        <w:tc>
          <w:tcPr>
            <w:tcW w:w="2551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spacing w:after="0"/>
              <w:ind w:right="192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sz w:val="19"/>
                <w:lang w:val="en-US" w:eastAsia="zh-CN"/>
              </w:rPr>
              <w:t>河北省</w:t>
            </w:r>
            <w:bookmarkStart w:id="7" w:name="_GoBack"/>
            <w:bookmarkEnd w:id="7"/>
            <w:r>
              <w:rPr>
                <w:rFonts w:hint="eastAsia" w:ascii="宋体" w:hAnsi="宋体" w:eastAsia="宋体" w:cs="宋体"/>
                <w:sz w:val="19"/>
                <w:lang w:val="en-US" w:eastAsia="zh-CN"/>
              </w:rPr>
              <w:t>石家庄</w:t>
            </w:r>
          </w:p>
        </w:tc>
      </w:tr>
      <w:tr>
        <w:tblPrEx>
          <w:tblCellMar>
            <w:top w:w="89" w:type="dxa"/>
            <w:left w:w="186" w:type="dxa"/>
            <w:bottom w:w="0" w:type="dxa"/>
            <w:right w:w="186" w:type="dxa"/>
          </w:tblCellMar>
        </w:tblPrEx>
        <w:trPr>
          <w:trHeight w:val="315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shd w:val="clear" w:color="auto" w:fill="BEBEBE"/>
          </w:tcPr>
          <w:p>
            <w:pPr>
              <w:spacing w:after="0"/>
              <w:ind w:left="136"/>
            </w:pPr>
            <w:r>
              <w:rPr>
                <w:rFonts w:ascii="宋体" w:hAnsi="宋体" w:eastAsia="宋体" w:cs="宋体"/>
                <w:sz w:val="19"/>
              </w:rPr>
              <w:t>建筑面积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0"/>
              <w:ind w:left="353"/>
            </w:pPr>
            <w:r>
              <w:rPr>
                <w:rFonts w:hint="eastAsia" w:asciiTheme="minorEastAsia" w:hAnsiTheme="minorEastAsia" w:eastAsiaTheme="minorEastAsia"/>
                <w:kern w:val="0"/>
                <w:szCs w:val="21"/>
                <w:lang w:val="en-US" w:eastAsia="zh-CN"/>
              </w:rPr>
              <w:t>52317</w:t>
            </w:r>
            <w:r>
              <w:rPr>
                <w:rFonts w:ascii="宋体" w:hAnsi="宋体" w:eastAsia="宋体" w:cs="宋体"/>
                <w:sz w:val="19"/>
              </w:rPr>
              <w:t>平方米</w:t>
            </w:r>
          </w:p>
        </w:tc>
        <w:tc>
          <w:tcPr>
            <w:tcW w:w="113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EBEBE"/>
          </w:tcPr>
          <w:p>
            <w:pPr>
              <w:spacing w:after="0"/>
              <w:ind w:left="190"/>
            </w:pPr>
            <w:r>
              <w:rPr>
                <w:rFonts w:ascii="宋体" w:hAnsi="宋体" w:eastAsia="宋体" w:cs="宋体"/>
                <w:sz w:val="19"/>
              </w:rPr>
              <w:t>层高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</w:tcPr>
          <w:p>
            <w:pPr>
              <w:spacing w:after="0"/>
              <w:ind w:right="190"/>
              <w:jc w:val="center"/>
            </w:pPr>
            <w:r>
              <w:rPr>
                <w:rFonts w:hint="eastAsia" w:ascii="宋体" w:hAnsi="宋体" w:eastAsia="宋体" w:cs="宋体"/>
                <w:sz w:val="19"/>
                <w:lang w:val="en-US" w:eastAsia="zh-CN"/>
              </w:rPr>
              <w:t>33</w:t>
            </w:r>
            <w:r>
              <w:rPr>
                <w:rFonts w:ascii="宋体" w:hAnsi="宋体" w:eastAsia="宋体" w:cs="宋体"/>
                <w:sz w:val="19"/>
              </w:rPr>
              <w:t>层</w:t>
            </w:r>
          </w:p>
        </w:tc>
      </w:tr>
      <w:tr>
        <w:tblPrEx>
          <w:tblCellMar>
            <w:top w:w="89" w:type="dxa"/>
            <w:left w:w="186" w:type="dxa"/>
            <w:bottom w:w="0" w:type="dxa"/>
            <w:right w:w="186" w:type="dxa"/>
          </w:tblCellMar>
        </w:tblPrEx>
        <w:trPr>
          <w:trHeight w:val="321" w:hRule="atLeast"/>
        </w:trPr>
        <w:tc>
          <w:tcPr>
            <w:tcW w:w="1410" w:type="dxa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6" w:space="0"/>
            </w:tcBorders>
            <w:shd w:val="clear" w:color="auto" w:fill="BEBEBE"/>
          </w:tcPr>
          <w:p>
            <w:pPr>
              <w:spacing w:after="0"/>
              <w:ind w:left="136"/>
            </w:pPr>
            <w:r>
              <w:rPr>
                <w:rFonts w:ascii="宋体" w:hAnsi="宋体" w:eastAsia="宋体" w:cs="宋体"/>
                <w:sz w:val="19"/>
              </w:rPr>
              <w:t>项目周期</w:t>
            </w:r>
          </w:p>
        </w:tc>
        <w:tc>
          <w:tcPr>
            <w:tcW w:w="2552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</w:tcPr>
          <w:p/>
        </w:tc>
        <w:tc>
          <w:tcPr>
            <w:tcW w:w="1133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6" w:space="0"/>
            </w:tcBorders>
            <w:shd w:val="clear" w:color="auto" w:fill="BEBEBE"/>
          </w:tcPr>
          <w:p>
            <w:pPr>
              <w:spacing w:after="0"/>
              <w:jc w:val="both"/>
            </w:pPr>
            <w:r>
              <w:rPr>
                <w:rFonts w:ascii="宋体" w:hAnsi="宋体" w:eastAsia="宋体" w:cs="宋体"/>
                <w:sz w:val="19"/>
              </w:rPr>
              <w:t>交付状态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12" w:space="0"/>
              <w:right w:val="single" w:color="000000" w:sz="12" w:space="0"/>
            </w:tcBorders>
          </w:tcPr>
          <w:p/>
        </w:tc>
      </w:tr>
    </w:tbl>
    <w:p>
      <w:pPr>
        <w:pStyle w:val="3"/>
        <w:spacing w:after="752"/>
        <w:ind w:left="31"/>
      </w:pPr>
      <w:bookmarkStart w:id="2" w:name="_Toc196181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924560</wp:posOffset>
                </wp:positionV>
                <wp:extent cx="5274310" cy="8890"/>
                <wp:effectExtent l="0" t="0" r="0" b="0"/>
                <wp:wrapTopAndBottom/>
                <wp:docPr id="193498" name="Group 193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9144"/>
                          <a:chOff x="0" y="0"/>
                          <a:chExt cx="5274310" cy="9144"/>
                        </a:xfrm>
                      </wpg:grpSpPr>
                      <wps:wsp>
                        <wps:cNvPr id="197162" name="Shape 197162"/>
                        <wps:cNvSpPr/>
                        <wps:spPr>
                          <a:xfrm>
                            <a:off x="0" y="0"/>
                            <a:ext cx="52743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4310" h="9144">
                                <a:moveTo>
                                  <a:pt x="0" y="0"/>
                                </a:moveTo>
                                <a:lnTo>
                                  <a:pt x="5274310" y="0"/>
                                </a:lnTo>
                                <a:lnTo>
                                  <a:pt x="52743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498" o:spid="_x0000_s1026" o:spt="203" style="position:absolute;left:0pt;margin-left:90pt;margin-top:72.8pt;height:0.7pt;width:415.3pt;mso-position-horizontal-relative:page;mso-position-vertical-relative:page;mso-wrap-distance-bottom:0pt;mso-wrap-distance-top:0pt;z-index:251659264;mso-width-relative:page;mso-height-relative:page;" coordsize="5274310,9144" o:gfxdata="UEsDBAoAAAAAAIdO4kAAAAAAAAAAAAAAAAAEAAAAZHJzL1BLAwQUAAAACACHTuJAmcKrVNgAAAAM&#10;AQAADwAAAGRycy9kb3ducmV2LnhtbE1PQU7DMBC8I/EHa5G4UdtASxXiVKgCThUSLRLi5sbbJGq8&#10;jmI3aX/P5gS3mZ3R7Ey+OvtWDNjHJpABPVMgkMrgGqoMfO3e7pYgYrLkbBsIDVwwwqq4vspt5sJI&#10;nzhsUyU4hGJmDdQpdZmUsazR2zgLHRJrh9B7m5j2lXS9HTnct/JeqYX0tiH+UNsO1zWWx+3JG3gf&#10;7fjyoF+HzfGwvvzs5h/fG43G3N5o9Qwi4Tn9mWGqz9Wh4E77cCIXRct8qXhLYvA4X4CYHEorRvvp&#10;9KRAFrn8P6L4BVBLAwQUAAAACACHTuJAK/LozUMCAADXBQAADgAAAGRycy9lMm9Eb2MueG1spVTb&#10;btswDH0fsH8Q/L44SbO2MZL0oVnzMmwF2n2AIsu2AN0mKXby96PoS7wU64rWDzZNHVE8hxRXd0cl&#10;Sc2dF0avk9lkmhCumcmFLtfJr+eHL7cJ8YHqnEqj+To5cZ/cbT5/WjU243NTGZlzRyCI9llj10kV&#10;gs3S1LOKK+onxnINi4Vxigb4dWWaO9pAdCXT+XR6nTbG5dYZxr0H77ZdTLqI7i0BTVEIxreGHRTX&#10;oY3quKQBKPlKWJ9sMNui4Cz8LArPA5HrBJgGfMMhYO/jO92saFY6aivBuhToW1K44KSo0HDoEGpL&#10;AyUHJ16EUoI5400RJsyotCWCigCL2fRCm50zB4tcyqwp7SA6FOpC9XeHZT/qR0dEDp2wvFosofaa&#10;Kqg6Hk06H4jU2DID7M7ZJ/voOkfZ/kXex8Kp+AVG5IjyngZ5+TEQBs6v85vF1QyUZ7C2nC0Wrfqs&#10;ghK92MSqb69tS/sj05jZkEhjoSn9WSn/MaWeKmo5FsBH9oNSN7Prea8UYkAp9KEwiB1k8pkHxT6k&#10;0UCWZuzgw44b1JrW331oGzjvLVr1Fjvq3nRwDV69AJaGuC8mGU3SjIpVdbWKi8rU/NkgLFxUDHI8&#10;r0o9Rg1171sCsD2i/1qMN0b2DfJPMDTSqI/+A8ObPmDAiDw3q85A7mCP1fVGivxBSBnpelfu76Uj&#10;NY1zBJ/YvLDlL5jUUbrY4RQmo/+NI2HPay5bsNSwJ/Zo2xLR2pv8hBcK/dC7iMD7jvG72RQHyvgf&#10;Ued5vPk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cKrVNgAAAAMAQAADwAAAAAAAAABACAAAAAi&#10;AAAAZHJzL2Rvd25yZXYueG1sUEsBAhQAFAAAAAgAh07iQCvy6M1DAgAA1wUAAA4AAAAAAAAAAQAg&#10;AAAAJwEAAGRycy9lMm9Eb2MueG1sUEsFBgAAAAAGAAYAWQEAANwFAAAAAA==&#10;">
                <o:lock v:ext="edit" aspectratio="f"/>
                <v:shape id="Shape 197162" o:spid="_x0000_s1026" o:spt="100" style="position:absolute;left:0;top:0;height:9144;width:5274310;" fillcolor="#000000" filled="t" stroked="f" coordsize="5274310,9144" o:gfxdata="UEsDBAoAAAAAAIdO4kAAAAAAAAAAAAAAAAAEAAAAZHJzL1BLAwQUAAAACACHTuJARQyLAb0AAADf&#10;AAAADwAAAGRycy9kb3ducmV2LnhtbEVPy4rCMBTdC/MP4Q7MRsa0LnzURhdCwc0srILbO821LTY3&#10;JYlV5+snguDycN755m46MZDzrWUF6SQBQVxZ3XKt4HgovhcgfEDW2FkmBQ/ysFl/jHLMtL3xnoYy&#10;1CKGsM9QQRNCn0npq4YM+ontiSN3ts5giNDVUju8xXDTyWmSzKTBlmNDgz1tG6ou5dUoqPR26f5O&#10;2izK3/RcdGN9LK4/Sn19pskKRKB7eItf7p2O85fzdDaF558I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DIsBvQAA&#10;AN8AAAAPAAAAAAAAAAEAIAAAACIAAABkcnMvZG93bnJldi54bWxQSwECFAAUAAAACACHTuJAMy8F&#10;njsAAAA5AAAAEAAAAAAAAAABACAAAAAMAQAAZHJzL3NoYXBleG1sLnhtbFBLBQYAAAAABgAGAFsB&#10;AAC2AwAAAAA=&#10;" path="m0,0l5274310,0,5274310,9144,0,9144,0,0e">
                  <v:fill on="t" focussize="0,0"/>
                  <v:stroke on="f" weight="0pt" joinstyle="bevel" endcap="square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eastAsia="Times New Roman" w:cs="Times New Roman"/>
          <w:b/>
        </w:rPr>
        <w:t xml:space="preserve">1.2 </w:t>
      </w:r>
      <w:r>
        <w:t>建筑平面图</w:t>
      </w:r>
      <w:bookmarkEnd w:id="2"/>
    </w:p>
    <w:p>
      <w:pPr>
        <w:spacing w:after="1094"/>
        <w:ind w:left="129" w:right="-515"/>
      </w:pPr>
      <w:r>
        <w:drawing>
          <wp:inline distT="0" distB="0" distL="114300" distR="114300">
            <wp:extent cx="5442585" cy="1816100"/>
            <wp:effectExtent l="0" t="0" r="571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31"/>
      </w:pPr>
      <w:bookmarkStart w:id="3" w:name="_Toc196182"/>
      <w:r>
        <w:rPr>
          <w:rFonts w:ascii="Times New Roman" w:hAnsi="Times New Roman" w:eastAsia="Times New Roman" w:cs="Times New Roman"/>
          <w:b/>
        </w:rPr>
        <w:t xml:space="preserve">1.3 </w:t>
      </w:r>
      <w:r>
        <w:t>建筑三维轴测图</w:t>
      </w:r>
      <w:bookmarkEnd w:id="3"/>
    </w:p>
    <w:p>
      <w:pPr>
        <w:spacing w:after="723"/>
        <w:ind w:left="36"/>
      </w:pPr>
      <w:r>
        <w:drawing>
          <wp:inline distT="0" distB="0" distL="114300" distR="114300">
            <wp:extent cx="3378835" cy="2910840"/>
            <wp:effectExtent l="0" t="0" r="1206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245"/>
        <w:ind w:left="31"/>
      </w:pPr>
      <w:bookmarkStart w:id="4" w:name="_Toc196183"/>
      <w:r>
        <w:rPr>
          <w:rFonts w:ascii="Arial" w:hAnsi="Arial" w:eastAsia="Arial" w:cs="Arial"/>
          <w:b/>
        </w:rPr>
        <w:t xml:space="preserve">2 </w:t>
      </w:r>
      <w:r>
        <w:t>参考标准</w:t>
      </w:r>
      <w:bookmarkEnd w:id="4"/>
    </w:p>
    <w:p>
      <w:pPr>
        <w:numPr>
          <w:ilvl w:val="0"/>
          <w:numId w:val="1"/>
        </w:numPr>
        <w:spacing w:after="113" w:line="265" w:lineRule="auto"/>
        <w:ind w:left="606" w:hanging="566"/>
      </w:pPr>
      <w:r>
        <w:rPr>
          <w:rFonts w:ascii="宋体" w:hAnsi="宋体" w:eastAsia="宋体" w:cs="宋体"/>
          <w:sz w:val="21"/>
        </w:rPr>
        <w:t>《绿色建筑评价标准》</w:t>
      </w:r>
      <w:r>
        <w:rPr>
          <w:rFonts w:ascii="Times New Roman" w:hAnsi="Times New Roman" w:eastAsia="Times New Roman" w:cs="Times New Roman"/>
          <w:sz w:val="21"/>
        </w:rPr>
        <w:t>GB50378-2019</w:t>
      </w:r>
    </w:p>
    <w:p>
      <w:pPr>
        <w:numPr>
          <w:ilvl w:val="0"/>
          <w:numId w:val="1"/>
        </w:numPr>
        <w:spacing w:after="113" w:line="267" w:lineRule="auto"/>
        <w:ind w:left="606" w:hanging="566"/>
      </w:pPr>
      <w:r>
        <w:rPr>
          <w:rFonts w:ascii="宋体" w:hAnsi="宋体" w:eastAsia="宋体" w:cs="宋体"/>
          <w:sz w:val="21"/>
        </w:rPr>
        <w:t>《住宅建筑室内装修污染控制技术标准》</w:t>
      </w:r>
      <w:r>
        <w:rPr>
          <w:rFonts w:ascii="Times New Roman" w:hAnsi="Times New Roman" w:eastAsia="Times New Roman" w:cs="Times New Roman"/>
          <w:sz w:val="21"/>
        </w:rPr>
        <w:t>JGJ/T 436</w:t>
      </w:r>
    </w:p>
    <w:p>
      <w:pPr>
        <w:numPr>
          <w:ilvl w:val="0"/>
          <w:numId w:val="1"/>
        </w:numPr>
        <w:spacing w:after="110" w:line="267" w:lineRule="auto"/>
        <w:ind w:left="606" w:hanging="566"/>
      </w:pPr>
      <w:r>
        <w:rPr>
          <w:rFonts w:ascii="宋体" w:hAnsi="宋体" w:eastAsia="宋体" w:cs="宋体"/>
          <w:sz w:val="21"/>
        </w:rPr>
        <w:t>《公共建筑室内空气质量控制设计标准》</w:t>
      </w:r>
      <w:r>
        <w:rPr>
          <w:rFonts w:ascii="Times New Roman" w:hAnsi="Times New Roman" w:eastAsia="Times New Roman" w:cs="Times New Roman"/>
          <w:sz w:val="21"/>
        </w:rPr>
        <w:t>JGJ/T 461</w:t>
      </w:r>
    </w:p>
    <w:p>
      <w:pPr>
        <w:numPr>
          <w:ilvl w:val="0"/>
          <w:numId w:val="1"/>
        </w:numPr>
        <w:spacing w:after="113" w:line="267" w:lineRule="auto"/>
        <w:ind w:left="606" w:hanging="566"/>
      </w:pPr>
      <w:r>
        <w:rPr>
          <w:rFonts w:ascii="宋体" w:hAnsi="宋体" w:eastAsia="宋体" w:cs="宋体"/>
          <w:sz w:val="21"/>
        </w:rPr>
        <w:t>《室内空气质量标准》</w:t>
      </w:r>
      <w:r>
        <w:rPr>
          <w:rFonts w:ascii="Times New Roman" w:hAnsi="Times New Roman" w:eastAsia="Times New Roman" w:cs="Times New Roman"/>
          <w:sz w:val="21"/>
        </w:rPr>
        <w:t>GB/T 18883</w:t>
      </w:r>
    </w:p>
    <w:p>
      <w:pPr>
        <w:numPr>
          <w:ilvl w:val="0"/>
          <w:numId w:val="1"/>
        </w:numPr>
        <w:spacing w:after="114" w:line="267" w:lineRule="auto"/>
        <w:ind w:left="606" w:hanging="566"/>
      </w:pPr>
      <w:r>
        <w:rPr>
          <w:rFonts w:ascii="宋体" w:hAnsi="宋体" w:eastAsia="宋体" w:cs="宋体"/>
          <w:sz w:val="21"/>
        </w:rPr>
        <w:t>《建筑外门窗气密、水密、抗风压性能分级及检测方法》</w:t>
      </w:r>
      <w:r>
        <w:rPr>
          <w:rFonts w:ascii="Times New Roman" w:hAnsi="Times New Roman" w:eastAsia="Times New Roman" w:cs="Times New Roman"/>
          <w:sz w:val="21"/>
        </w:rPr>
        <w:t>GB/T 7106</w:t>
      </w:r>
    </w:p>
    <w:p>
      <w:pPr>
        <w:numPr>
          <w:ilvl w:val="0"/>
          <w:numId w:val="1"/>
        </w:numPr>
        <w:spacing w:after="112" w:line="267" w:lineRule="auto"/>
        <w:ind w:left="606" w:hanging="566"/>
      </w:pPr>
      <w:r>
        <w:rPr>
          <w:rFonts w:ascii="宋体" w:hAnsi="宋体" w:eastAsia="宋体" w:cs="宋体"/>
          <w:sz w:val="21"/>
        </w:rPr>
        <w:t>《民用建筑工程室内环境污染控制规范》</w:t>
      </w:r>
      <w:r>
        <w:rPr>
          <w:rFonts w:ascii="Times New Roman" w:hAnsi="Times New Roman" w:eastAsia="Times New Roman" w:cs="Times New Roman"/>
          <w:sz w:val="21"/>
        </w:rPr>
        <w:t>GB 50325</w:t>
      </w:r>
    </w:p>
    <w:p>
      <w:pPr>
        <w:numPr>
          <w:ilvl w:val="0"/>
          <w:numId w:val="1"/>
        </w:numPr>
        <w:spacing w:after="428" w:line="267" w:lineRule="auto"/>
        <w:ind w:left="606" w:hanging="566"/>
      </w:pPr>
      <w:r>
        <w:rPr>
          <w:rFonts w:ascii="宋体" w:hAnsi="宋体" w:eastAsia="宋体" w:cs="宋体"/>
          <w:sz w:val="21"/>
        </w:rPr>
        <w:t>《民用建筑供暖通风与空气调节设计规范》</w:t>
      </w:r>
      <w:r>
        <w:rPr>
          <w:rFonts w:ascii="Times New Roman" w:hAnsi="Times New Roman" w:eastAsia="Times New Roman" w:cs="Times New Roman"/>
          <w:sz w:val="21"/>
        </w:rPr>
        <w:t>GB50736</w:t>
      </w:r>
    </w:p>
    <w:p>
      <w:pPr>
        <w:pStyle w:val="2"/>
        <w:ind w:left="31"/>
        <w:rPr>
          <w:rFonts w:hint="eastAsia" w:ascii="Arial" w:hAnsi="Arial" w:eastAsia="宋体" w:cs="Arial"/>
          <w:b/>
          <w:lang w:val="en-US" w:eastAsia="zh-CN"/>
        </w:rPr>
      </w:pPr>
      <w:bookmarkStart w:id="5" w:name="_Toc196184"/>
      <w:r>
        <w:rPr>
          <w:rFonts w:ascii="Arial" w:hAnsi="Arial" w:eastAsia="Arial" w:cs="Arial"/>
          <w:b/>
        </w:rPr>
        <w:t xml:space="preserve">3 </w:t>
      </w:r>
      <w:bookmarkEnd w:id="5"/>
      <w:bookmarkStart w:id="6" w:name="_Toc196189"/>
      <w:r>
        <w:rPr>
          <w:rFonts w:hint="eastAsia" w:ascii="Arial" w:hAnsi="Arial" w:eastAsia="宋体" w:cs="Arial"/>
          <w:b/>
          <w:lang w:val="en-US" w:eastAsia="zh-CN"/>
        </w:rPr>
        <w:t>创建剖面</w:t>
      </w:r>
    </w:p>
    <w:p>
      <w:pPr>
        <w:spacing w:after="173" w:line="267" w:lineRule="auto"/>
        <w:ind w:firstLine="420" w:firstLineChars="200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流场模拟是在三维空间内进行的，但观察结果的时候用剖面表现更加方便，因此应当为浏览模拟结果配 置剖面视图。Vent 提供了水平剖面和垂直剖面的视图定义，如果用户没有定义视图，系统将自动提供 1.5m 标高处的水平剖面视图，用户可在参数设置界面勾选。 用户如果在计算之前确定观察某个剖面视图，可以在计算之前创建所需观察剖面；如用户在计算完成后 创建剖面，则需要在结果管理界面点击【更新剖面】命令，则在结果浏览界面中将会显示所创建的剖面。</w:t>
      </w:r>
    </w:p>
    <w:p>
      <w:pPr>
        <w:spacing w:after="173" w:line="267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屏幕菜单命令：【设置】→【垂直剖面】（CZPM） 通过垂直剖面符号定义需要分析浏览的垂直剖面视图。 按下列步骤定义垂直剖面视图： </w:t>
      </w:r>
    </w:p>
    <w:p>
      <w:pPr>
        <w:spacing w:after="173" w:line="267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1 输入视图名称； </w:t>
      </w:r>
    </w:p>
    <w:p>
      <w:pPr>
        <w:spacing w:after="173" w:line="267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2 输入剖面第一点； </w:t>
      </w:r>
    </w:p>
    <w:p>
      <w:pPr>
        <w:spacing w:after="173" w:line="267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3 输入剖面第二点； </w:t>
      </w:r>
    </w:p>
    <w:p>
      <w:pPr>
        <w:spacing w:after="173" w:line="267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4 输入视图方向，即观察的目标方向。 </w:t>
      </w:r>
    </w:p>
    <w:p>
      <w:pPr>
        <w:spacing w:after="173" w:line="267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下图定义了垂直剖面视图 A。</w:t>
      </w:r>
    </w:p>
    <w:p>
      <w:pPr>
        <w:spacing w:after="173" w:line="267" w:lineRule="auto"/>
        <w:ind w:firstLine="440" w:firstLineChars="200"/>
        <w:jc w:val="center"/>
      </w:pPr>
      <w:r>
        <w:drawing>
          <wp:inline distT="0" distB="0" distL="114300" distR="114300">
            <wp:extent cx="2101850" cy="1949450"/>
            <wp:effectExtent l="0" t="0" r="635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73" w:line="267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选中结果，右键可以弹出剖面创建的选择界面，如下图，根据需要快速创建任意剖面。通过拖拽图中箭头 调整剖面的角度，获取所需剖面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after="173" w:line="267" w:lineRule="auto"/>
        <w:ind w:firstLine="440" w:firstLineChars="200"/>
        <w:jc w:val="both"/>
      </w:pPr>
      <w:r>
        <w:drawing>
          <wp:inline distT="0" distB="0" distL="114300" distR="114300">
            <wp:extent cx="5271770" cy="6527800"/>
            <wp:effectExtent l="0" t="0" r="1143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31"/>
        <w:rPr>
          <w:rFonts w:hint="eastAsia"/>
          <w:lang w:val="en-US" w:eastAsia="zh-CN"/>
        </w:rPr>
      </w:pPr>
      <w:r>
        <w:rPr>
          <w:rFonts w:hint="eastAsia" w:ascii="Arial" w:hAnsi="Arial" w:eastAsia="宋体" w:cs="Arial"/>
          <w:b/>
          <w:lang w:val="en-US" w:eastAsia="zh-CN"/>
        </w:rPr>
        <w:t>4</w:t>
      </w:r>
      <w:r>
        <w:rPr>
          <w:rFonts w:ascii="Arial" w:hAnsi="Arial" w:eastAsia="Arial" w:cs="Arial"/>
          <w:b/>
        </w:rPr>
        <w:t xml:space="preserve"> </w:t>
      </w:r>
      <w:r>
        <w:rPr>
          <w:rFonts w:hint="eastAsia" w:ascii="Arial" w:hAnsi="Arial" w:eastAsia="宋体" w:cs="Arial"/>
          <w:b/>
          <w:lang w:val="en-US" w:eastAsia="zh-CN"/>
        </w:rPr>
        <w:t>居住建筑</w:t>
      </w:r>
      <w:r>
        <w:rPr>
          <w:rFonts w:hint="eastAsia"/>
          <w:lang w:val="en-US" w:eastAsia="zh-CN"/>
        </w:rPr>
        <w:t>室内自然通风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Vent 室内通风计算模块，是基于室外通风计算开发的。通常先进行室外风场的计算，计算之后会提取 各个窗户表面压力值；之后在进行室内通风计算时，将所需的窗户表面压力值自动赋予对应窗户边界，作为 室内分析的初始边界条件。 如果用户有实测的门窗边界的压力值，也可以直接输入作为室内分析的边界条件。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4.1计算参数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Vent 室内通风流场计算需要设置网格参数，并设置门窗开启面积和门窗边界的压力值。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4.2网格精度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室内通风计算中精度的配置原理与室外计算基本相同，分为“粗略（高速）”、“一般（中速）”、“精 细（低速）” 三个档次配置。但是因为室外与室内计算域的尺度不同，具体每个档次对应的网格参数与室 外通风不同。</w:t>
      </w:r>
    </w:p>
    <w:p>
      <w:pPr>
        <w:ind w:firstLine="440" w:firstLineChars="200"/>
      </w:pPr>
      <w:r>
        <w:drawing>
          <wp:inline distT="0" distB="0" distL="114300" distR="114300">
            <wp:extent cx="4591050" cy="2844800"/>
            <wp:effectExtent l="0" t="0" r="635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4.3网格参数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室内通风不需要地面和建筑表面网格附加层，因此没有附面层网格参数；此外，室内通风分析，速度可 能发生较大变化的窗户、门、墙的拐角附近，网格需要特别加密，最大细分级数和最小细分级数可以控制加 密后网格的尺寸，而网格参数的定义则与室外风场的计算参数相同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4.4门窗风压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室内通风需要定义门窗是否开启，开启面积以及门窗压力值；风压是室内通风计算的必要条件之一，没 有风压，计算结果将会显示室内任意点速度均为零。 门窗开启面积设置方法请参考单体建模的开启尺寸设置一节。 获取窗户风压的规则如下： 在室外通风计算设置界面中选择“计算完毕提取单体窗风压表”，确保窗户风压值的数据可以在室外通 风计算完毕后可以保存到结果中（计算机硬盘中），同时可以显示到窗户风压表中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4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3333115"/>
            <wp:effectExtent l="0" t="0" r="10795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4228465"/>
            <wp:effectExtent l="0" t="0" r="12065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after="173" w:line="267" w:lineRule="auto"/>
        <w:ind w:firstLine="440" w:firstLineChars="200"/>
        <w:jc w:val="both"/>
        <w:rPr>
          <w:rFonts w:hint="eastAsia"/>
          <w:lang w:eastAsia="zh-CN"/>
        </w:rPr>
      </w:pPr>
    </w:p>
    <w:p>
      <w:pPr>
        <w:pStyle w:val="2"/>
        <w:ind w:left="31"/>
      </w:pPr>
      <w:r>
        <w:rPr>
          <w:rFonts w:hint="eastAsia" w:ascii="Arial" w:hAnsi="Arial" w:eastAsia="宋体" w:cs="Arial"/>
          <w:b/>
          <w:lang w:val="en-US" w:eastAsia="zh-CN"/>
        </w:rPr>
        <w:t>5</w:t>
      </w:r>
      <w:r>
        <w:rPr>
          <w:rFonts w:ascii="Arial" w:hAnsi="Arial" w:eastAsia="Arial" w:cs="Arial"/>
          <w:b/>
        </w:rPr>
        <w:t xml:space="preserve"> </w:t>
      </w:r>
      <w:r>
        <w:rPr>
          <w:rFonts w:hint="eastAsia" w:ascii="Arial" w:hAnsi="Arial" w:eastAsia="宋体" w:cs="Arial"/>
          <w:b/>
          <w:lang w:val="en-US" w:eastAsia="zh-CN"/>
        </w:rPr>
        <w:t>结果管理</w:t>
      </w:r>
    </w:p>
    <w:p>
      <w:pPr>
        <w:pStyle w:val="2"/>
        <w:ind w:left="31"/>
        <w:rPr>
          <w:rFonts w:ascii="Arial" w:hAnsi="Arial" w:eastAsia="Arial" w:cs="Arial"/>
          <w:b/>
        </w:rPr>
      </w:pPr>
    </w:p>
    <w:p>
      <w:r>
        <w:drawing>
          <wp:inline distT="0" distB="0" distL="114300" distR="114300">
            <wp:extent cx="5273675" cy="3435350"/>
            <wp:effectExtent l="0" t="0" r="9525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3162300"/>
            <wp:effectExtent l="0" t="0" r="508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4318635"/>
            <wp:effectExtent l="0" t="0" r="12065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/>
    <w:p/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开启比例：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2405" cy="5143500"/>
            <wp:effectExtent l="0" t="0" r="10795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开地比：</w:t>
      </w:r>
    </w:p>
    <w:p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2405" cy="3773805"/>
            <wp:effectExtent l="0" t="0" r="10795" b="1079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399915"/>
            <wp:effectExtent l="0" t="0" r="3810" b="698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399915"/>
            <wp:effectExtent l="0" t="0" r="3810" b="698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8" w:right="1800" w:bottom="1628" w:left="1800" w:header="972" w:footer="57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424"/>
        <w:tab w:val="center" w:pos="7449"/>
      </w:tabs>
      <w:spacing w:after="0"/>
      <w:jc w:val="center"/>
    </w:pPr>
    <w:r>
      <w:rPr>
        <w:rFonts w:ascii="宋体" w:hAnsi="宋体" w:eastAsia="宋体" w:cs="宋体"/>
        <w:sz w:val="20"/>
      </w:rP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宋体" w:hAnsi="宋体" w:eastAsia="宋体" w:cs="宋体"/>
        <w:sz w:val="20"/>
      </w:rPr>
      <w:t>10</w:t>
    </w:r>
    <w:r>
      <w:rPr>
        <w:rFonts w:ascii="宋体" w:hAnsi="宋体" w:eastAsia="宋体" w:cs="宋体"/>
        <w:sz w:val="20"/>
      </w:rPr>
      <w:fldChar w:fldCharType="end"/>
    </w:r>
    <w:r>
      <w:rPr>
        <w:rFonts w:ascii="宋体" w:hAnsi="宋体" w:eastAsia="宋体" w:cs="宋体"/>
        <w:sz w:val="20"/>
      </w:rPr>
      <w:t>页 共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宋体" w:hAnsi="宋体" w:eastAsia="宋体" w:cs="宋体"/>
        <w:sz w:val="20"/>
      </w:rPr>
      <w:t>12</w:t>
    </w:r>
    <w:r>
      <w:rPr>
        <w:rFonts w:ascii="宋体" w:hAnsi="宋体" w:eastAsia="宋体" w:cs="宋体"/>
        <w:sz w:val="20"/>
      </w:rPr>
      <w:fldChar w:fldCharType="end"/>
    </w:r>
    <w:r>
      <w:rPr>
        <w:rFonts w:ascii="宋体" w:hAnsi="宋体" w:eastAsia="宋体" w:cs="宋体"/>
        <w:sz w:val="20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424"/>
        <w:tab w:val="center" w:pos="7449"/>
      </w:tabs>
      <w:spacing w:after="0"/>
    </w:pPr>
    <w:r>
      <w:rPr>
        <w:rFonts w:ascii="宋体" w:hAnsi="宋体" w:eastAsia="宋体" w:cs="宋体"/>
        <w:color w:val="0000FF"/>
        <w:sz w:val="20"/>
        <w:u w:val="single" w:color="0000FF"/>
      </w:rPr>
      <w:t>http://www.gbsware.cn/</w:t>
    </w:r>
    <w:r>
      <w:rPr>
        <w:rFonts w:ascii="宋体" w:hAnsi="宋体" w:eastAsia="宋体" w:cs="宋体"/>
        <w:color w:val="0000FF"/>
        <w:sz w:val="20"/>
        <w:u w:val="single" w:color="0000FF"/>
      </w:rPr>
      <w:tab/>
    </w:r>
    <w:r>
      <w:rPr>
        <w:rFonts w:ascii="宋体" w:hAnsi="宋体" w:eastAsia="宋体" w:cs="宋体"/>
        <w:sz w:val="20"/>
      </w:rP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宋体" w:hAnsi="宋体" w:eastAsia="宋体" w:cs="宋体"/>
        <w:sz w:val="20"/>
      </w:rPr>
      <w:t>10</w:t>
    </w:r>
    <w:r>
      <w:rPr>
        <w:rFonts w:ascii="宋体" w:hAnsi="宋体" w:eastAsia="宋体" w:cs="宋体"/>
        <w:sz w:val="20"/>
      </w:rPr>
      <w:fldChar w:fldCharType="end"/>
    </w:r>
    <w:r>
      <w:rPr>
        <w:rFonts w:ascii="宋体" w:hAnsi="宋体" w:eastAsia="宋体" w:cs="宋体"/>
        <w:sz w:val="20"/>
      </w:rPr>
      <w:t>页 共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宋体" w:hAnsi="宋体" w:eastAsia="宋体" w:cs="宋体"/>
        <w:sz w:val="20"/>
      </w:rPr>
      <w:t>12</w:t>
    </w:r>
    <w:r>
      <w:rPr>
        <w:rFonts w:ascii="宋体" w:hAnsi="宋体" w:eastAsia="宋体" w:cs="宋体"/>
        <w:sz w:val="20"/>
      </w:rPr>
      <w:fldChar w:fldCharType="end"/>
    </w:r>
    <w:r>
      <w:rPr>
        <w:rFonts w:ascii="宋体" w:hAnsi="宋体" w:eastAsia="宋体" w:cs="宋体"/>
        <w:sz w:val="20"/>
      </w:rPr>
      <w:t>页</w:t>
    </w:r>
    <w:r>
      <w:rPr>
        <w:rFonts w:ascii="宋体" w:hAnsi="宋体" w:eastAsia="宋体" w:cs="宋体"/>
        <w:sz w:val="20"/>
      </w:rPr>
      <w:tab/>
    </w:r>
    <w:r>
      <w:rPr>
        <w:rFonts w:ascii="宋体" w:hAnsi="宋体" w:eastAsia="宋体" w:cs="宋体"/>
        <w:sz w:val="20"/>
      </w:rPr>
      <w:t>VENT2020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424"/>
        <w:tab w:val="center" w:pos="7449"/>
      </w:tabs>
      <w:spacing w:after="0"/>
    </w:pPr>
    <w:r>
      <w:rPr>
        <w:rFonts w:ascii="宋体" w:hAnsi="宋体" w:eastAsia="宋体" w:cs="宋体"/>
        <w:color w:val="0000FF"/>
        <w:sz w:val="20"/>
        <w:u w:val="single" w:color="0000FF"/>
      </w:rPr>
      <w:t>http://www.gbsware.cn/</w:t>
    </w:r>
    <w:r>
      <w:rPr>
        <w:rFonts w:ascii="宋体" w:hAnsi="宋体" w:eastAsia="宋体" w:cs="宋体"/>
        <w:color w:val="0000FF"/>
        <w:sz w:val="20"/>
        <w:u w:val="single" w:color="0000FF"/>
      </w:rPr>
      <w:tab/>
    </w:r>
    <w:r>
      <w:rPr>
        <w:rFonts w:ascii="宋体" w:hAnsi="宋体" w:eastAsia="宋体" w:cs="宋体"/>
        <w:sz w:val="20"/>
      </w:rP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宋体" w:hAnsi="宋体" w:eastAsia="宋体" w:cs="宋体"/>
        <w:sz w:val="20"/>
      </w:rPr>
      <w:t>10</w:t>
    </w:r>
    <w:r>
      <w:rPr>
        <w:rFonts w:ascii="宋体" w:hAnsi="宋体" w:eastAsia="宋体" w:cs="宋体"/>
        <w:sz w:val="20"/>
      </w:rPr>
      <w:fldChar w:fldCharType="end"/>
    </w:r>
    <w:r>
      <w:rPr>
        <w:rFonts w:ascii="宋体" w:hAnsi="宋体" w:eastAsia="宋体" w:cs="宋体"/>
        <w:sz w:val="20"/>
      </w:rPr>
      <w:t>页 共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宋体" w:hAnsi="宋体" w:eastAsia="宋体" w:cs="宋体"/>
        <w:sz w:val="20"/>
      </w:rPr>
      <w:t>12</w:t>
    </w:r>
    <w:r>
      <w:rPr>
        <w:rFonts w:ascii="宋体" w:hAnsi="宋体" w:eastAsia="宋体" w:cs="宋体"/>
        <w:sz w:val="20"/>
      </w:rPr>
      <w:fldChar w:fldCharType="end"/>
    </w:r>
    <w:r>
      <w:rPr>
        <w:rFonts w:ascii="宋体" w:hAnsi="宋体" w:eastAsia="宋体" w:cs="宋体"/>
        <w:sz w:val="20"/>
      </w:rPr>
      <w:t>页</w:t>
    </w:r>
    <w:r>
      <w:rPr>
        <w:rFonts w:ascii="宋体" w:hAnsi="宋体" w:eastAsia="宋体" w:cs="宋体"/>
        <w:sz w:val="20"/>
      </w:rPr>
      <w:tab/>
    </w:r>
    <w:r>
      <w:rPr>
        <w:rFonts w:ascii="宋体" w:hAnsi="宋体" w:eastAsia="宋体" w:cs="宋体"/>
        <w:sz w:val="20"/>
      </w:rPr>
      <w:t>VENT2020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5104"/>
      </w:tabs>
      <w:spacing w:after="0"/>
      <w:jc w:val="center"/>
    </w:pPr>
    <w:r>
      <w:rPr>
        <w:rFonts w:ascii="宋体" w:hAnsi="宋体" w:eastAsia="宋体" w:cs="宋体"/>
        <w:sz w:val="18"/>
      </w:rPr>
      <w:t>空气质量评价报告书</w:t>
    </w:r>
    <w:r>
      <w:rPr>
        <w:rFonts w:ascii="等线" w:hAnsi="等线" w:eastAsia="等线" w:cs="等线"/>
        <w:sz w:val="18"/>
      </w:rPr>
      <w:t>-</w:t>
    </w:r>
    <w:r>
      <w:rPr>
        <w:rFonts w:ascii="宋体" w:hAnsi="宋体" w:eastAsia="宋体" w:cs="宋体"/>
        <w:sz w:val="18"/>
      </w:rPr>
      <w:t>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5104"/>
      </w:tabs>
      <w:spacing w:after="0"/>
    </w:pPr>
    <w: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1143000</wp:posOffset>
          </wp:positionH>
          <wp:positionV relativeFrom="page">
            <wp:posOffset>617220</wp:posOffset>
          </wp:positionV>
          <wp:extent cx="972185" cy="251460"/>
          <wp:effectExtent l="0" t="0" r="5715" b="2540"/>
          <wp:wrapSquare wrapText="bothSides"/>
          <wp:docPr id="3" name="Picture 1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312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z w:val="18"/>
      </w:rPr>
      <w:tab/>
    </w:r>
    <w:r>
      <w:rPr>
        <w:rFonts w:ascii="宋体" w:hAnsi="宋体" w:eastAsia="宋体" w:cs="宋体"/>
        <w:sz w:val="18"/>
      </w:rPr>
      <w:t>空气质量评价报告书</w:t>
    </w:r>
    <w:r>
      <w:rPr>
        <w:rFonts w:ascii="等线" w:hAnsi="等线" w:eastAsia="等线" w:cs="等线"/>
        <w:sz w:val="18"/>
      </w:rPr>
      <w:t>-</w:t>
    </w:r>
    <w:r>
      <w:rPr>
        <w:rFonts w:ascii="宋体" w:hAnsi="宋体" w:eastAsia="宋体" w:cs="宋体"/>
        <w:sz w:val="18"/>
      </w:rPr>
      <w:t>有机挥发物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5104"/>
      </w:tabs>
      <w:spacing w:after="0"/>
    </w:pPr>
    <w: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1143000</wp:posOffset>
          </wp:positionH>
          <wp:positionV relativeFrom="page">
            <wp:posOffset>617220</wp:posOffset>
          </wp:positionV>
          <wp:extent cx="972185" cy="251460"/>
          <wp:effectExtent l="0" t="0" r="5715" b="2540"/>
          <wp:wrapSquare wrapText="bothSides"/>
          <wp:docPr id="5" name="Picture 1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2312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z w:val="18"/>
      </w:rPr>
      <w:tab/>
    </w:r>
    <w:r>
      <w:rPr>
        <w:rFonts w:ascii="宋体" w:hAnsi="宋体" w:eastAsia="宋体" w:cs="宋体"/>
        <w:sz w:val="18"/>
      </w:rPr>
      <w:t>空气质量评价报告书</w:t>
    </w:r>
    <w:r>
      <w:rPr>
        <w:rFonts w:ascii="等线" w:hAnsi="等线" w:eastAsia="等线" w:cs="等线"/>
        <w:sz w:val="18"/>
      </w:rPr>
      <w:t>-</w:t>
    </w:r>
    <w:r>
      <w:rPr>
        <w:rFonts w:ascii="宋体" w:hAnsi="宋体" w:eastAsia="宋体" w:cs="宋体"/>
        <w:sz w:val="18"/>
      </w:rPr>
      <w:t>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312B38"/>
    <w:multiLevelType w:val="multilevel"/>
    <w:tmpl w:val="03312B38"/>
    <w:lvl w:ilvl="0" w:tentative="0">
      <w:start w:val="1"/>
      <w:numFmt w:val="decimal"/>
      <w:lvlText w:val="%1）"/>
      <w:lvlJc w:val="left"/>
      <w:pPr>
        <w:ind w:left="6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hZTgyNTBlNWNmNmE1NGU1OGM3ODA1YTM5YThiMWUifQ=="/>
  </w:docVars>
  <w:rsids>
    <w:rsidRoot w:val="00000000"/>
    <w:rsid w:val="04F027D2"/>
    <w:rsid w:val="224A015D"/>
    <w:rsid w:val="52E14BD7"/>
    <w:rsid w:val="621B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spacing w:after="125" w:line="265" w:lineRule="auto"/>
      <w:ind w:left="46" w:hanging="10"/>
      <w:outlineLvl w:val="0"/>
    </w:pPr>
    <w:rPr>
      <w:rFonts w:ascii="黑体" w:hAnsi="黑体" w:eastAsia="黑体" w:cs="黑体"/>
      <w:color w:val="000000"/>
      <w:kern w:val="2"/>
      <w:sz w:val="28"/>
      <w:szCs w:val="22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keepNext/>
      <w:keepLines/>
      <w:spacing w:after="81" w:line="265" w:lineRule="auto"/>
      <w:ind w:left="46" w:hanging="10"/>
      <w:outlineLvl w:val="1"/>
    </w:pPr>
    <w:rPr>
      <w:rFonts w:ascii="黑体" w:hAnsi="黑体" w:eastAsia="黑体" w:cs="黑体"/>
      <w:color w:val="000000"/>
      <w:kern w:val="2"/>
      <w:sz w:val="24"/>
      <w:szCs w:val="22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next w:val="1"/>
    <w:hidden/>
    <w:qFormat/>
    <w:uiPriority w:val="0"/>
    <w:pPr>
      <w:spacing w:after="21" w:line="265" w:lineRule="auto"/>
      <w:ind w:left="25" w:right="15" w:hanging="10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paragraph" w:styleId="7">
    <w:name w:val="toc 2"/>
    <w:next w:val="1"/>
    <w:hidden/>
    <w:qFormat/>
    <w:uiPriority w:val="0"/>
    <w:pPr>
      <w:spacing w:after="29" w:line="259" w:lineRule="auto"/>
      <w:ind w:left="25" w:right="17" w:hanging="10"/>
      <w:jc w:val="right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table" w:customStyle="1" w:styleId="10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1429</Words>
  <Characters>1595</Characters>
  <Lines>0</Lines>
  <Paragraphs>0</Paragraphs>
  <TotalTime>4</TotalTime>
  <ScaleCrop>false</ScaleCrop>
  <LinksUpToDate>false</LinksUpToDate>
  <CharactersWithSpaces>1702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2022-12-30T15:23:00Z</dcterms:created>
  <dc:creator>13790</dc:creator>
  <cp:lastModifiedBy>§夜微凉＆</cp:lastModifiedBy>
  <dcterms:modified xsi:type="dcterms:W3CDTF">2023-01-03T11:07:49Z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4D4DB62F727947B4A83169755EB26716</vt:lpwstr>
  </property>
</Properties>
</file>