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2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  <w:lang w:val="en-US" w:eastAsia="zh-CN"/>
              </w:rPr>
              <w:t>石家庄海硕新城</w:t>
            </w:r>
            <w:r>
              <w:rPr>
                <w:rFonts w:hint="eastAsia" w:ascii="宋体" w:hAnsi="宋体"/>
                <w:szCs w:val="21"/>
              </w:rPr>
              <w:t>小区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Theme="minorHAnsi"/>
                <w:szCs w:val="21"/>
                <w:lang w:val="en-US" w:eastAsia="zh-CN"/>
              </w:rPr>
            </w:pPr>
            <w:bookmarkStart w:id="3" w:name="地理位置"/>
            <w:r>
              <w:t>河北-</w:t>
            </w:r>
            <w:bookmarkEnd w:id="3"/>
            <w:r>
              <w:rPr>
                <w:rFonts w:hint="eastAsia"/>
                <w:lang w:val="en-US" w:eastAsia="zh-CN"/>
              </w:rPr>
              <w:t>石家庄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Theme="minorHAnsi"/>
                <w:szCs w:val="21"/>
                <w:lang w:val="en-US" w:eastAsia="zh-CN"/>
              </w:rPr>
            </w:pPr>
            <w:r>
              <w:t>BK</w:t>
            </w:r>
            <w:r>
              <w:rPr>
                <w:rFonts w:hint="eastAsia"/>
                <w:lang w:val="en-US" w:eastAsia="zh-CN"/>
              </w:rPr>
              <w:t>A50595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华北理工大学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华北理工大学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szCs w:val="21"/>
              </w:rPr>
              <w:t>年12月8日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bookmarkEnd w:id="7"/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Theme="minorHAnsi"/>
                <w:lang w:val="en-US" w:eastAsia="zh-CN"/>
              </w:rPr>
            </w:pPr>
            <w:bookmarkStart w:id="8" w:name="软件全称"/>
            <w:r>
              <w:t>节能设计BECS202</w:t>
            </w:r>
            <w:bookmarkEnd w:id="8"/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18"/>
              </w:rPr>
              <w:t>0101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4"/>
      </w:pPr>
    </w:p>
    <w:p>
      <w:pPr>
        <w:rPr>
          <w:lang w:val="en-US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4"/>
      </w:pPr>
    </w:p>
    <w:p>
      <w:pPr>
        <w:pStyle w:val="2"/>
      </w:pPr>
      <w:bookmarkStart w:id="10" w:name="_Toc316568035"/>
      <w:r>
        <w:rPr>
          <w:rFonts w:hint="eastAsia"/>
        </w:rPr>
        <w:t>建筑概况</w:t>
      </w:r>
      <w:bookmarkEnd w:id="10"/>
    </w:p>
    <w:tbl>
      <w:tblPr>
        <w:tblStyle w:val="15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7"/>
        <w:gridCol w:w="95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rPr>
                <w:rFonts w:hint="eastAsia"/>
                <w:lang w:val="en-US" w:eastAsia="zh-CN"/>
              </w:rPr>
              <w:t>石家庄海硕新城</w:t>
            </w:r>
            <w:r>
              <w:t>小区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2" w:name="工程地点"/>
            <w:r>
              <w:t>河北-</w:t>
            </w:r>
            <w:bookmarkEnd w:id="12"/>
            <w:r>
              <w:rPr>
                <w:rFonts w:hint="eastAsia"/>
                <w:lang w:val="en-US" w:eastAsia="zh-CN"/>
              </w:rPr>
              <w:t>石家庄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气候分区"/>
            <w:r>
              <w:t>寒冷A区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41496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33</w:t>
            </w:r>
            <w:r>
              <w:rPr>
                <w:rFonts w:hint="eastAsia" w:ascii="宋体" w:hAnsi="宋体"/>
                <w:lang w:val="en-US"/>
              </w:rPr>
              <w:t xml:space="preserve">          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99</w:t>
            </w:r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北向角度"/>
            <w:r>
              <w:t>90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采暖期天数"/>
            <w:r>
              <w:t>120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采暖期平均外温"/>
            <w:r>
              <w:t>-0.60</w:t>
            </w:r>
            <w:bookmarkEnd w:id="16"/>
          </w:p>
        </w:tc>
      </w:tr>
    </w:tbl>
    <w:p>
      <w:pPr>
        <w:pStyle w:val="2"/>
      </w:pPr>
      <w:bookmarkStart w:id="17" w:name="_Toc316568036"/>
      <w:bookmarkStart w:id="18" w:name="TitleFormat"/>
      <w:r>
        <w:rPr>
          <w:rFonts w:hint="eastAsia"/>
        </w:rPr>
        <w:t>设计依据</w:t>
      </w:r>
      <w:bookmarkEnd w:id="17"/>
    </w:p>
    <w:bookmarkEnd w:id="18"/>
    <w:p>
      <w:pPr>
        <w:widowControl w:val="0"/>
        <w:jc w:val="both"/>
        <w:rPr>
          <w:kern w:val="2"/>
          <w:szCs w:val="24"/>
          <w:lang w:val="en-US"/>
        </w:rPr>
      </w:pPr>
      <w:bookmarkStart w:id="19" w:name="计算依据"/>
      <w:bookmarkEnd w:id="19"/>
      <w:r>
        <w:rPr>
          <w:kern w:val="2"/>
          <w:szCs w:val="24"/>
          <w:lang w:val="en-US"/>
        </w:rPr>
        <w:t>1. 《河北省居住建筑节能设计标准》DB13(J)185-2020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31433-2015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>规定性指标</w:t>
      </w:r>
    </w:p>
    <w:tbl>
      <w:tblPr>
        <w:tblStyle w:val="15"/>
        <w:tblW w:w="161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375"/>
        <w:gridCol w:w="7827"/>
        <w:gridCol w:w="1177"/>
        <w:gridCol w:w="19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检查项</w:t>
            </w:r>
          </w:p>
        </w:tc>
        <w:tc>
          <w:tcPr>
            <w:shd w:val="clear" w:color="auto" w:fill="DEDEDE"/>
            <w:vAlign w:val="center"/>
          </w:tcPr>
          <w:p>
            <w:r>
              <w:t>计算值</w:t>
            </w:r>
          </w:p>
        </w:tc>
        <w:tc>
          <w:tcPr>
            <w:shd w:val="clear" w:color="auto" w:fill="DEDEDE"/>
            <w:vAlign w:val="center"/>
          </w:tcPr>
          <w:p>
            <w:r>
              <w:t>标准要求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  <w:tc>
          <w:tcPr>
            <w:shd w:val="clear" w:color="auto" w:fill="DEDEDE"/>
            <w:vAlign w:val="center"/>
          </w:tcPr>
          <w:p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体形系数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s≤0.33 [体形系数应符合表4.1.3的规定]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⊙开间窗墙比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窗墙面积比不应超过表4.1.4的规定的数值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⊙可权衡判断窗墙面积比检查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在进行权衡判断时，各朝向的窗墙面积比最大只能比本标准表 4.1.4 中的对应值大 0.1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⊙天窗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⊙屋顶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K=0</w:t>
            </w:r>
            <w:r>
              <w:rPr>
                <w:rFonts w:hint="eastAsia"/>
                <w:color w:val="000000"/>
                <w:lang w:val="en-US" w:eastAsia="zh-CN"/>
              </w:rPr>
              <w:t>.26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K≤0.30[K值应当符合表4.2.1-1、4.2.1-2的要求]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0.22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K≤0.45[K值应当符合表4.2.1-1、4.2.1-2的要求]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○挑空楼板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K值应符合表4.2.1-1、4.2.1-2的要求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挑空楼板构造一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○阳台门下部门芯板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保温门（多功能门）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K=1.</w:t>
            </w:r>
            <w:r>
              <w:rPr>
                <w:rFonts w:hint="eastAsia"/>
                <w:color w:val="000000"/>
                <w:lang w:val="en-US" w:eastAsia="zh-CN"/>
              </w:rPr>
              <w:t>65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K≤1.70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非供暖地下室顶板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⊙分隔供暖与非供暖空间的隔墙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0.75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K≤1.50[K值应符合表4.2.2-1的要求]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○分隔供暖与非供暖空间的楼板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1.30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K≤1.50[K值应符合表4.2.2-1的要求]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第1个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面积:7.38(m2)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第2个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面积:7.38(m2)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第3个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面积:7.38(m2)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第4个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面积:6.30(m2)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○分隔供暖与非供暖空间的户门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单层实体门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K=2.</w:t>
            </w:r>
            <w:r>
              <w:rPr>
                <w:rFonts w:hint="eastAsia"/>
                <w:color w:val="000000"/>
                <w:lang w:val="en-US" w:eastAsia="zh-CN"/>
              </w:rPr>
              <w:t>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K≤2.00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供暖温差大于5K的隔墙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供暖温差大于5K的楼板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变形缝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⊙分户墙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K=1.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分户楼板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├○总体热工性能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K值应满足表4.2.1-1、4.2.1-2的要求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南向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K值应满足表4.2.1-1、4.2.1-2的要求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北向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K值应满足表4.2.1-1、4.2.1-2的要求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东向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K值应满足表4.2.1-1、4.2.1-2的要求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西向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K值应满足表4.2.1-1、4.2.1-2的要求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└⊙外窗太阳得热系数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寒冷（B）区夏季外窗太阳得热系数不应大于表4.2.2-2的要求。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⊙是否有凸窗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严寒地区不应设置凸窗，寒冷地区除南向外不应设置凸窗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○凸窗透明部分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└○总体热工性能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凸窗传热系数限值应比普通窗降低15%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南向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凸窗传热系数限值应比普通窗降低15%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○凸窗板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├○凸窗顶板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凸窗顶板K值应符合表4.2.1-1、4.2.1-2中外墙的要求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凸窗顶板构造一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0.26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凸窗侧板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凸窗侧板K值应符合表4.2.1-1、4.2.1-2中外墙的要求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└○凸窗底板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凸窗底板K值应符合表4.2.1-1、4.2.1-2中外墙的要求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凸窗底板构造一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K=5.60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○周边地面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R值不应小于表4.2.1-1、4.2.1-2的限值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周边地面构造一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R=0.00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R≥1.50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地下墙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R值不应小于表4.2.1-1、4.2.1-2的限值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封闭阳台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封闭阳台应满足《河北省居住建筑节能设计标准(节能75%)(2021版)》DB13(J)185-20204.2.6的规定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结论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不可</w:t>
            </w:r>
          </w:p>
        </w:tc>
      </w:tr>
    </w:tbl>
    <w:p>
      <w:pPr>
        <w:jc w:val="center"/>
      </w:pP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rFonts w:hint="eastAsia"/>
          <w:kern w:val="2"/>
          <w:szCs w:val="24"/>
          <w:lang w:val="en-US" w:eastAsia="zh-CN"/>
        </w:rPr>
        <w:t>性能化</w:t>
      </w:r>
      <w:r>
        <w:rPr>
          <w:kern w:val="2"/>
          <w:szCs w:val="24"/>
        </w:rPr>
        <w:t>指标检查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t>性能化指标</w:t>
      </w:r>
    </w:p>
    <w:tbl>
      <w:tblPr>
        <w:tblStyle w:val="15"/>
        <w:tblW w:w="1470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850"/>
        <w:gridCol w:w="7827"/>
        <w:gridCol w:w="11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检查项</w:t>
            </w:r>
          </w:p>
        </w:tc>
        <w:tc>
          <w:tcPr>
            <w:shd w:val="clear" w:color="auto" w:fill="DEDEDE"/>
            <w:vAlign w:val="center"/>
          </w:tcPr>
          <w:p>
            <w:r>
              <w:t>计算值</w:t>
            </w:r>
          </w:p>
        </w:tc>
        <w:tc>
          <w:tcPr>
            <w:shd w:val="clear" w:color="auto" w:fill="DEDEDE"/>
            <w:vAlign w:val="center"/>
          </w:tcPr>
          <w:p>
            <w:r>
              <w:t>标准要求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⊙强制窗墙比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在进行权衡判断时，各朝向的窗墙面积比最大只能比本标准表 4.1.4 中的对应值大 0.1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⊙天窗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⊙屋顶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K=0.</w:t>
            </w:r>
            <w:r>
              <w:rPr>
                <w:rFonts w:hint="eastAsia"/>
                <w:color w:val="000000"/>
                <w:lang w:val="en-US" w:eastAsia="zh-CN"/>
              </w:rPr>
              <w:t>26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K≤0.30[K值应当符合表4.2.1-1、4.2.1-2的要求]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0.22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K≤0.45[K值应当符合表4.2.1-1、4.2.1-2的要求]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○挑空楼板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K值应符合表4.2.1-1、4.2.1-2的要求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挑空楼板构造一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○阳台门下部门芯板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保温门（多功能门）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K=1.</w:t>
            </w:r>
            <w:r>
              <w:rPr>
                <w:rFonts w:hint="eastAsia"/>
                <w:color w:val="000000"/>
                <w:lang w:val="en-US" w:eastAsia="zh-CN"/>
              </w:rPr>
              <w:t>61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K≤1.70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非供暖地下室顶板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⊙分隔供暖与非供暖空间的隔墙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K=2.13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K≤1.50[K值应符合表4.2.2-1的要求]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○分隔供暖与非供暖空间的楼板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K=3.28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K≤1.50[K值应符合表4.2.2-1的要求]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第1个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面积:7.38(m2)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第2个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面积:7.38(m2)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第3个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面积:7.38(m2)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第4个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面积:6.30(m2)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○分隔供暖与非供暖空间的户门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单层实体门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K=2.30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K≤2.00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供暖温差大于5K的隔墙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供暖温差大于5K的楼板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○凸窗透明部分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└○总体热工性能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凸窗传热系数限值应比普通窗降低15%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南向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凸窗传热系数限值应比普通窗降低15%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○凸窗板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├○凸窗顶板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凸窗顶板K值应符合表4.2.1-1、4.2.1-2中外墙的要求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凸窗顶板构造一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0.25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凸窗侧板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凸窗侧板K值应符合表4.2.1-1、4.2.1-2中外墙的要求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└○凸窗底板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凸窗底板K值应符合表4.2.1-1、4.2.1-2中外墙的要求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凸窗底板构造一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0.26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○周边地面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R值不应小于表4.2.1-1、4.2.1-2的限值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周边地面构造一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R=</w:t>
            </w:r>
            <w:r>
              <w:rPr>
                <w:rFonts w:hint="eastAsia"/>
                <w:color w:val="000000"/>
                <w:lang w:val="en-US" w:eastAsia="zh-CN"/>
              </w:rPr>
              <w:t>2.6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R≥1.50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地下墙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R值不应小于表4.2.1-1、4.2.1-2的限值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需要</w:t>
            </w:r>
          </w:p>
        </w:tc>
      </w:tr>
    </w:tbl>
    <w:p>
      <w:pPr>
        <w:jc w:val="center"/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17"/>
        <w:rFonts w:ascii="宋体" w:hAnsi="宋体"/>
        <w:szCs w:val="21"/>
      </w:rPr>
      <w:fldChar w:fldCharType="begin"/>
    </w:r>
    <w:r>
      <w:rPr>
        <w:rStyle w:val="17"/>
        <w:rFonts w:ascii="宋体" w:hAnsi="宋体"/>
        <w:szCs w:val="21"/>
      </w:rPr>
      <w:instrText xml:space="preserve"> PAGE </w:instrText>
    </w:r>
    <w:r>
      <w:rPr>
        <w:rStyle w:val="17"/>
        <w:rFonts w:ascii="宋体" w:hAnsi="宋体"/>
        <w:szCs w:val="21"/>
      </w:rPr>
      <w:fldChar w:fldCharType="separate"/>
    </w:r>
    <w:r>
      <w:rPr>
        <w:rStyle w:val="17"/>
        <w:rFonts w:ascii="宋体" w:hAnsi="宋体"/>
        <w:szCs w:val="21"/>
      </w:rPr>
      <w:t>2</w:t>
    </w:r>
    <w:r>
      <w:rPr>
        <w:rStyle w:val="17"/>
        <w:rFonts w:ascii="宋体" w:hAnsi="宋体"/>
        <w:szCs w:val="21"/>
      </w:rPr>
      <w:fldChar w:fldCharType="end"/>
    </w:r>
    <w:r>
      <w:rPr>
        <w:rStyle w:val="17"/>
        <w:rFonts w:hint="eastAsia" w:ascii="宋体" w:hAnsi="宋体"/>
        <w:szCs w:val="21"/>
      </w:rPr>
      <w:t xml:space="preserve"> / </w:t>
    </w:r>
    <w:r>
      <w:rPr>
        <w:rStyle w:val="17"/>
        <w:rFonts w:ascii="宋体" w:hAnsi="宋体"/>
        <w:szCs w:val="21"/>
      </w:rPr>
      <w:fldChar w:fldCharType="begin"/>
    </w:r>
    <w:r>
      <w:rPr>
        <w:rStyle w:val="17"/>
        <w:rFonts w:ascii="宋体" w:hAnsi="宋体"/>
        <w:szCs w:val="21"/>
      </w:rPr>
      <w:instrText xml:space="preserve"> NUMPAGES </w:instrText>
    </w:r>
    <w:r>
      <w:rPr>
        <w:rStyle w:val="17"/>
        <w:rFonts w:ascii="宋体" w:hAnsi="宋体"/>
        <w:szCs w:val="21"/>
      </w:rPr>
      <w:fldChar w:fldCharType="separate"/>
    </w:r>
    <w:r>
      <w:rPr>
        <w:rStyle w:val="17"/>
        <w:rFonts w:ascii="宋体" w:hAnsi="宋体"/>
        <w:szCs w:val="21"/>
      </w:rPr>
      <w:t>2</w:t>
    </w:r>
    <w:r>
      <w:rPr>
        <w:rStyle w:val="17"/>
        <w:rFonts w:ascii="宋体" w:hAnsi="宋体"/>
        <w:szCs w:val="21"/>
      </w:rPr>
      <w:fldChar w:fldCharType="end"/>
    </w:r>
    <w:r>
      <w:rPr>
        <w:rStyle w:val="17"/>
        <w:rFonts w:hint="eastAsia" w:ascii="宋体" w:hAnsi="宋体"/>
        <w:szCs w:val="21"/>
      </w:rPr>
      <w:t xml:space="preserve"> 页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both"/>
    </w:pPr>
    <w:r>
      <w:rPr>
        <w:rFonts w:hint="eastAsia"/>
      </w:rPr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TgyNTBlNWNmNmE1NGU1OGM3ODA1YTM5YThiMWUifQ=="/>
  </w:docVars>
  <w:rsids>
    <w:rsidRoot w:val="00217F62"/>
    <w:rsid w:val="001915A3"/>
    <w:rsid w:val="00217F62"/>
    <w:rsid w:val="00A906D8"/>
    <w:rsid w:val="00AB5A74"/>
    <w:rsid w:val="00F071AE"/>
    <w:rsid w:val="13FD11BF"/>
    <w:rsid w:val="2B6E06BD"/>
    <w:rsid w:val="3FFD1DF8"/>
    <w:rsid w:val="4D47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8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9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2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21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2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2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24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2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4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styleId="17">
    <w:name w:val="page number"/>
    <w:basedOn w:val="16"/>
    <w:qFormat/>
    <w:uiPriority w:val="0"/>
  </w:style>
  <w:style w:type="character" w:customStyle="1" w:styleId="18">
    <w:name w:val="Heading 2 Char"/>
    <w:basedOn w:val="1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6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6"/>
    <w:link w:val="6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5 Char"/>
    <w:basedOn w:val="16"/>
    <w:link w:val="7"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2">
    <w:name w:val="Heading 6 Char"/>
    <w:basedOn w:val="16"/>
    <w:link w:val="8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3">
    <w:name w:val="Heading 7 Char"/>
    <w:basedOn w:val="16"/>
    <w:link w:val="9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4">
    <w:name w:val="Heading 8 Char"/>
    <w:basedOn w:val="16"/>
    <w:link w:val="10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5">
    <w:name w:val="Heading 9 Char"/>
    <w:basedOn w:val="16"/>
    <w:link w:val="11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1830</Words>
  <Characters>2573</Characters>
  <TotalTime>36</TotalTime>
  <ScaleCrop>false</ScaleCrop>
  <LinksUpToDate>false</LinksUpToDate>
  <CharactersWithSpaces>2656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2023-01-02T14:08:00Z</dcterms:created>
  <dc:creator>ybx</dc:creator>
  <cp:lastModifiedBy>§夜微凉＆</cp:lastModifiedBy>
  <dcterms:modified xsi:type="dcterms:W3CDTF">2023-01-03T11:14:44Z</dcterms:modified>
  <dc:title>节能检查-规定性指标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D23ED12124784A07AA79AD691F49185C</vt:lpwstr>
  </property>
</Properties>
</file>