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88" w:lineRule="auto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4.2.</w:t>
      </w:r>
      <w:r>
        <w:rPr>
          <w:rFonts w:hint="eastAsia" w:ascii="Times New Roman" w:hAnsi="Times New Roman" w:eastAsiaTheme="minorEastAsia"/>
        </w:rPr>
        <w:t>6</w:t>
      </w:r>
      <w:r>
        <w:rPr>
          <w:rFonts w:ascii="Times New Roman" w:hAnsi="Times New Roman" w:eastAsiaTheme="minorEastAsia"/>
        </w:rPr>
        <w:t xml:space="preserve"> </w:t>
      </w:r>
      <w:r>
        <w:rPr>
          <w:rFonts w:hint="eastAsia" w:ascii="Times New Roman" w:hAnsi="Times New Roman" w:eastAsiaTheme="minorEastAsia"/>
        </w:rPr>
        <w:t>采取提升建筑适变性的措施。（总分18分）</w:t>
      </w:r>
    </w:p>
    <w:p>
      <w:pPr>
        <w:numPr>
          <w:ilvl w:val="0"/>
          <w:numId w:val="1"/>
        </w:numPr>
        <w:spacing w:line="288" w:lineRule="auto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得分自评</w:t>
      </w:r>
    </w:p>
    <w:tbl>
      <w:tblPr>
        <w:tblStyle w:val="6"/>
        <w:tblW w:w="8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387"/>
        <w:gridCol w:w="1276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采取通用开放、灵活可变的使用空间设计，或采取建筑使用功能可变措施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建筑结构与建筑设备管线分离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采用与建筑功能和空间变化相适应的设备设施布置方式或控制方式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</w:tr>
    </w:tbl>
    <w:p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评价要点</w:t>
      </w:r>
    </w:p>
    <w:p>
      <w:pPr>
        <w:pStyle w:val="17"/>
        <w:numPr>
          <w:ilvl w:val="0"/>
          <w:numId w:val="2"/>
        </w:numPr>
        <w:spacing w:before="100" w:line="288" w:lineRule="auto"/>
        <w:ind w:firstLineChars="0"/>
        <w:rPr>
          <w:rFonts w:eastAsiaTheme="minorEastAsia"/>
          <w:b/>
          <w:bCs/>
          <w:lang w:val="zh-CN"/>
        </w:rPr>
      </w:pPr>
      <w:r>
        <w:rPr>
          <w:rFonts w:hint="eastAsia" w:eastAsiaTheme="minorEastAsia"/>
          <w:b/>
          <w:bCs/>
          <w:lang w:val="zh-CN"/>
        </w:rPr>
        <w:t>灵活隔断</w:t>
      </w:r>
    </w:p>
    <w:p>
      <w:pPr>
        <w:spacing w:line="288" w:lineRule="auto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是否存在可变换功能的室内空间：</w:t>
      </w:r>
      <w:sdt>
        <w:sdtPr>
          <w:rPr>
            <w:rFonts w:hint="eastAsia" w:eastAsiaTheme="minorEastAsia"/>
            <w:szCs w:val="21"/>
          </w:rPr>
          <w:id w:val="-12848194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ascii="Wingdings 2" w:hAnsi="Wingdings 2" w:cs="Times New Roman" w:eastAsiaTheme="minorEastAsia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rPr>
          <w:rFonts w:hint="eastAsia" w:eastAsiaTheme="minorEastAsia"/>
          <w:szCs w:val="21"/>
        </w:rPr>
        <w:t>是、</w:t>
      </w:r>
      <w:sdt>
        <w:sdtPr>
          <w:rPr>
            <w:rFonts w:hint="eastAsia" w:eastAsiaTheme="minorEastAsia"/>
            <w:szCs w:val="21"/>
          </w:rPr>
          <w:id w:val="2691294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eastAsiaTheme="minorEastAsia"/>
            <w:szCs w:val="21"/>
          </w:rPr>
        </w:sdtEndPr>
        <w:sdtContent>
          <w:r>
            <w:rPr>
              <w:rFonts w:hint="eastAsia" w:eastAsiaTheme="minorEastAsia"/>
              <w:szCs w:val="21"/>
            </w:rPr>
            <w:sym w:font="Wingdings 2" w:char="F0A3"/>
          </w:r>
        </w:sdtContent>
      </w:sdt>
      <w:r>
        <w:rPr>
          <w:rFonts w:hint="eastAsia" w:eastAsiaTheme="minorEastAsia"/>
          <w:szCs w:val="21"/>
        </w:rPr>
        <w:t>否；</w:t>
      </w:r>
    </w:p>
    <w:p>
      <w:pPr>
        <w:spacing w:line="288" w:lineRule="auto"/>
        <w:rPr>
          <w:rFonts w:cs="宋体" w:eastAsiaTheme="minorEastAsia"/>
        </w:rPr>
      </w:pPr>
      <w:r>
        <w:rPr>
          <w:rFonts w:hint="eastAsia" w:eastAsiaTheme="minorEastAsia"/>
        </w:rPr>
        <w:t>可变</w:t>
      </w:r>
      <w:r>
        <w:rPr>
          <w:rFonts w:hint="eastAsia" w:cs="宋体" w:eastAsiaTheme="minorEastAsia"/>
          <w:lang w:val="zh-CN"/>
        </w:rPr>
        <w:t>换功能的室内空间采用可重复使用隔断（墙）的比例：</w:t>
      </w:r>
      <w:r>
        <w:rPr>
          <w:rFonts w:eastAsiaTheme="minorEastAsia"/>
          <w:lang w:val="zh-CN"/>
        </w:rPr>
        <w:t>__</w:t>
      </w:r>
      <w:r>
        <w:rPr>
          <w:rFonts w:hint="eastAsia" w:eastAsiaTheme="minorEastAsia"/>
          <w:lang w:val="en-US" w:eastAsia="zh-CN"/>
        </w:rPr>
        <w:t>80</w:t>
      </w:r>
      <w:r>
        <w:rPr>
          <w:rFonts w:eastAsiaTheme="minorEastAsia"/>
          <w:lang w:val="zh-CN"/>
        </w:rPr>
        <w:t>__ %</w:t>
      </w:r>
      <w:r>
        <w:rPr>
          <w:rFonts w:hint="eastAsia" w:eastAsiaTheme="minorEastAsia"/>
          <w:lang w:val="zh-CN"/>
        </w:rPr>
        <w:t>。</w:t>
      </w:r>
    </w:p>
    <w:p>
      <w:pPr>
        <w:pStyle w:val="15"/>
        <w:spacing w:line="288" w:lineRule="auto"/>
        <w:outlineLvl w:val="9"/>
        <w:rPr>
          <w:rFonts w:eastAsiaTheme="minorEastAsia"/>
          <w:sz w:val="21"/>
          <w:szCs w:val="21"/>
        </w:rPr>
      </w:pPr>
      <w:r>
        <w:rPr>
          <w:rFonts w:hint="eastAsia" w:eastAsiaTheme="minorEastAsia"/>
          <w:sz w:val="21"/>
          <w:szCs w:val="21"/>
        </w:rPr>
        <w:t>简要说明采取提升建筑适变性的措施（</w:t>
      </w:r>
      <w:r>
        <w:rPr>
          <w:rFonts w:eastAsiaTheme="minorEastAsia"/>
          <w:sz w:val="21"/>
          <w:szCs w:val="21"/>
        </w:rPr>
        <w:t>200</w:t>
      </w:r>
      <w:r>
        <w:rPr>
          <w:rFonts w:hint="eastAsia" w:eastAsiaTheme="minorEastAsia"/>
          <w:sz w:val="21"/>
          <w:szCs w:val="21"/>
        </w:rPr>
        <w:t>字以内）。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234" w:type="dxa"/>
          </w:tcPr>
          <w:p>
            <w:pPr>
              <w:pStyle w:val="16"/>
              <w:spacing w:line="288" w:lineRule="auto"/>
              <w:ind w:firstLine="422"/>
              <w:jc w:val="both"/>
              <w:outlineLvl w:val="8"/>
              <w:rPr>
                <w:rFonts w:ascii="Times New Roman" w:cs="Times New Roman" w:eastAsiaTheme="minorEastAsia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采取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采取提升建筑适变性的措施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： 1、采取通用开放、灵活可变的使用空间设计，或采取建筑使用功能可</w:t>
            </w:r>
            <w:r>
              <w:rPr>
                <w:rStyle w:val="9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变措施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1"/>
                <w:szCs w:val="21"/>
                <w:shd w:val="clear" w:fill="FFFFFF"/>
              </w:rPr>
              <w:t>； 2、建筑结构与建筑设备管线分离；</w:t>
            </w:r>
          </w:p>
        </w:tc>
      </w:tr>
    </w:tbl>
    <w:p>
      <w:pPr>
        <w:numPr>
          <w:ilvl w:val="0"/>
          <w:numId w:val="1"/>
        </w:numPr>
        <w:spacing w:before="200" w:line="288" w:lineRule="auto"/>
        <w:ind w:left="357" w:hanging="357"/>
        <w:rPr>
          <w:rFonts w:eastAsiaTheme="minorEastAsia"/>
          <w:b/>
          <w:kern w:val="0"/>
          <w:sz w:val="24"/>
        </w:rPr>
      </w:pPr>
      <w:r>
        <w:rPr>
          <w:rFonts w:hint="eastAsia" w:eastAsiaTheme="minorEastAsia"/>
          <w:b/>
          <w:kern w:val="0"/>
          <w:sz w:val="24"/>
        </w:rPr>
        <w:t>证明材料</w:t>
      </w:r>
    </w:p>
    <w:p>
      <w:pPr>
        <w:spacing w:before="156" w:beforeLines="50" w:after="156" w:afterLines="50" w:line="288" w:lineRule="auto"/>
        <w:ind w:left="360"/>
        <w:rPr>
          <w:rFonts w:eastAsiaTheme="minorEastAsia"/>
          <w:b/>
        </w:rPr>
      </w:pPr>
      <w:r>
        <w:rPr>
          <w:rFonts w:hint="eastAsia" w:eastAsiaTheme="minorEastAsia"/>
          <w:b/>
        </w:rPr>
        <w:t>建议提交材料及技术要求：</w:t>
      </w:r>
    </w:p>
    <w:tbl>
      <w:tblPr>
        <w:tblStyle w:val="6"/>
        <w:tblW w:w="83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10"/>
        <w:gridCol w:w="3591"/>
        <w:gridCol w:w="1185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建筑设计说明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应包括项目建筑类型、建筑功能、各功能区域规模的描述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应说明隔墙材料及做法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 xml:space="preserve">建筑平面图 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应体现建筑平面布置、隔墙的材料类别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装修设计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装修平面图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应体现建筑平面布置及隔墙（隔断）的设计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b/>
                <w:bCs/>
                <w:color w:val="000000"/>
                <w:kern w:val="0"/>
                <w:sz w:val="22"/>
                <w:szCs w:val="22"/>
              </w:rPr>
              <w:t>可重复使用隔断（墙）使用比例计算书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0"/>
                <w:szCs w:val="20"/>
              </w:rPr>
              <w:t>应体现可变换功能的室内空间的位置、采用的可重复使用隔断的类别及安装方式、实际可重复使用隔断（墙）围合的建筑面积与建筑中可变换功能的室内空间面积及其比值(指标要求与自评一致)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预评价/</w:t>
            </w:r>
          </w:p>
          <w:p>
            <w:pPr>
              <w:widowControl/>
              <w:jc w:val="center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eastAsiaTheme="minorEastAsia"/>
                <w:color w:val="000000"/>
                <w:kern w:val="0"/>
                <w:sz w:val="22"/>
                <w:szCs w:val="22"/>
              </w:rPr>
              <w:t>公共建筑</w:t>
            </w:r>
          </w:p>
        </w:tc>
      </w:tr>
    </w:tbl>
    <w:p>
      <w:pPr>
        <w:spacing w:before="200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实际提交材料：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eastAsiaTheme="minorEastAsia"/>
                <w:kern w:val="0"/>
                <w:sz w:val="20"/>
                <w:szCs w:val="21"/>
              </w:rPr>
              <w:instrText xml:space="preserve"> HYPERLINK "../竞赛/绿建竞赛/图纸（BECS)2.dwg" </w:instrTex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Style w:val="10"/>
                <w:rFonts w:eastAsiaTheme="minorEastAsia"/>
                <w:kern w:val="0"/>
                <w:sz w:val="20"/>
                <w:szCs w:val="21"/>
              </w:rPr>
              <w:t>..\竞赛\绿建竞赛\图纸（BECS)2.dwg</w: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end"/>
            </w:r>
          </w:p>
          <w:p>
            <w:pPr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eastAsiaTheme="minorEastAsia"/>
                <w:kern w:val="0"/>
                <w:sz w:val="20"/>
                <w:szCs w:val="21"/>
              </w:rPr>
              <w:instrText xml:space="preserve"> HYPERLINK "../竞赛/绿建竞赛/图纸2.dwg" </w:instrTex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Style w:val="10"/>
                <w:rFonts w:eastAsiaTheme="minorEastAsia"/>
                <w:kern w:val="0"/>
                <w:sz w:val="20"/>
                <w:szCs w:val="21"/>
              </w:rPr>
              <w:t>..\竞赛\绿建竞赛\图纸2.dwg</w: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end"/>
            </w:r>
          </w:p>
          <w:p>
            <w:pPr>
              <w:rPr>
                <w:rFonts w:eastAsiaTheme="minorEastAsia"/>
                <w:kern w:val="0"/>
                <w:sz w:val="20"/>
                <w:szCs w:val="21"/>
              </w:rPr>
            </w:pPr>
            <w:r>
              <w:rPr>
                <w:rFonts w:eastAsiaTheme="minorEastAsia"/>
                <w:kern w:val="0"/>
                <w:sz w:val="20"/>
                <w:szCs w:val="21"/>
              </w:rPr>
              <w:fldChar w:fldCharType="begin"/>
            </w:r>
            <w:r>
              <w:rPr>
                <w:rFonts w:eastAsiaTheme="minorEastAsia"/>
                <w:kern w:val="0"/>
                <w:sz w:val="20"/>
                <w:szCs w:val="21"/>
              </w:rPr>
              <w:instrText xml:space="preserve"> HYPERLINK "../竞赛/绿建竞赛/海硕新城建筑说明书.doc" </w:instrTex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separate"/>
            </w:r>
            <w:r>
              <w:rPr>
                <w:rStyle w:val="10"/>
                <w:rFonts w:eastAsiaTheme="minorEastAsia"/>
                <w:kern w:val="0"/>
                <w:sz w:val="20"/>
                <w:szCs w:val="21"/>
              </w:rPr>
              <w:t>..\竞赛\绿建竞赛\海硕新城建筑说明书.doc</w:t>
            </w:r>
            <w:r>
              <w:rPr>
                <w:rFonts w:eastAsiaTheme="minorEastAsia"/>
                <w:kern w:val="0"/>
                <w:sz w:val="20"/>
                <w:szCs w:val="21"/>
              </w:rPr>
              <w:fldChar w:fldCharType="end"/>
            </w:r>
            <w:bookmarkStart w:id="0" w:name="_GoBack"/>
            <w:bookmarkEnd w:id="0"/>
          </w:p>
          <w:p>
            <w:pPr>
              <w:rPr>
                <w:rFonts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rPr>
          <w:rFonts w:eastAsiaTheme="minorEastAsia"/>
          <w:szCs w:val="21"/>
        </w:rPr>
      </w:pPr>
    </w:p>
    <w:p>
      <w:pPr>
        <w:rPr>
          <w:rFonts w:eastAsiaTheme="minor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C5DBB"/>
    <w:multiLevelType w:val="multilevel"/>
    <w:tmpl w:val="2DFC5D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26252"/>
    <w:multiLevelType w:val="multilevel"/>
    <w:tmpl w:val="6682625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wMTFhMWIyZDBmZmZkOTM4NzA4NTIyODViYmQ0NTMifQ=="/>
  </w:docVars>
  <w:rsids>
    <w:rsidRoot w:val="00E72863"/>
    <w:rsid w:val="000143D3"/>
    <w:rsid w:val="002D194C"/>
    <w:rsid w:val="00324AD7"/>
    <w:rsid w:val="003D6950"/>
    <w:rsid w:val="00525977"/>
    <w:rsid w:val="005C4452"/>
    <w:rsid w:val="00654833"/>
    <w:rsid w:val="006E2A76"/>
    <w:rsid w:val="0095079A"/>
    <w:rsid w:val="00A45812"/>
    <w:rsid w:val="00A661C1"/>
    <w:rsid w:val="00AE3077"/>
    <w:rsid w:val="00C92716"/>
    <w:rsid w:val="00CF14B3"/>
    <w:rsid w:val="00DF07E8"/>
    <w:rsid w:val="00E72863"/>
    <w:rsid w:val="00E850B7"/>
    <w:rsid w:val="061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link w:val="13"/>
    <w:qFormat/>
    <w:uiPriority w:val="0"/>
    <w:pPr>
      <w:snapToGrid w:val="0"/>
      <w:spacing w:before="120" w:after="120" w:line="240" w:lineRule="auto"/>
      <w:jc w:val="left"/>
      <w:outlineLvl w:val="2"/>
    </w:pPr>
    <w:rPr>
      <w:rFonts w:ascii="黑体" w:hAnsi="黑体" w:eastAsia="黑体" w:cs="Times New Roman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3 Char"/>
    <w:basedOn w:val="8"/>
    <w:link w:val="3"/>
    <w:qFormat/>
    <w:uiPriority w:val="0"/>
    <w:rPr>
      <w:rFonts w:ascii="黑体" w:hAnsi="黑体" w:eastAsia="黑体" w:cs="Times New Roman"/>
      <w:b/>
      <w:bCs/>
      <w:kern w:val="0"/>
      <w:sz w:val="24"/>
      <w:szCs w:val="32"/>
    </w:rPr>
  </w:style>
  <w:style w:type="character" w:customStyle="1" w:styleId="14">
    <w:name w:val="条文 Char"/>
    <w:link w:val="15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5">
    <w:name w:val="条文"/>
    <w:basedOn w:val="1"/>
    <w:link w:val="14"/>
    <w:uiPriority w:val="99"/>
    <w:pPr>
      <w:spacing w:line="300" w:lineRule="auto"/>
      <w:outlineLvl w:val="2"/>
    </w:pPr>
    <w:rPr>
      <w:sz w:val="24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8">
    <w:name w:val="标题 2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9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514</Characters>
  <Lines>4</Lines>
  <Paragraphs>1</Paragraphs>
  <TotalTime>20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2020-06-04T02:04:00Z</dcterms:created>
  <dc:creator>dongYP</dc:creator>
  <cp:lastModifiedBy>晨岚</cp:lastModifiedBy>
  <dcterms:modified xsi:type="dcterms:W3CDTF">2023-02-25T12:39:17Z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BD5E28F18268409E83784705ACB2F9E6</vt:lpwstr>
  </property>
</Properties>
</file>