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88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6.</w:t>
      </w:r>
      <w:r>
        <w:rPr>
          <w:rFonts w:hint="eastAsia" w:ascii="Times New Roman" w:hAnsi="Times New Roman" w:eastAsiaTheme="minorEastAsia"/>
        </w:rPr>
        <w:t>2</w:t>
      </w:r>
      <w:r>
        <w:rPr>
          <w:rFonts w:ascii="Times New Roman" w:hAnsi="Times New Roman" w:eastAsiaTheme="minorEastAsia"/>
        </w:rPr>
        <w:t>.</w:t>
      </w:r>
      <w:r>
        <w:rPr>
          <w:rFonts w:hint="eastAsia" w:ascii="Times New Roman" w:hAnsi="Times New Roman" w:eastAsiaTheme="minorEastAsia"/>
        </w:rPr>
        <w:t>12定期对建筑运营效果进行评估，并根据结果进行运行优化。（总分12分）</w:t>
      </w:r>
    </w:p>
    <w:p>
      <w:pPr>
        <w:numPr>
          <w:ilvl w:val="0"/>
          <w:numId w:val="1"/>
        </w:numPr>
        <w:spacing w:line="288" w:lineRule="auto"/>
        <w:rPr>
          <w:rFonts w:cs="宋体" w:eastAsiaTheme="minorEastAsia"/>
          <w:b/>
          <w:bCs/>
          <w:sz w:val="24"/>
          <w:lang w:val="zh-CN"/>
        </w:rPr>
      </w:pPr>
      <w:r>
        <w:rPr>
          <w:rFonts w:hint="eastAsia" w:cs="宋体" w:eastAsiaTheme="minorEastAsia"/>
          <w:b/>
          <w:bCs/>
          <w:sz w:val="24"/>
          <w:lang w:val="zh-CN"/>
        </w:rPr>
        <w:t>得分自评</w:t>
      </w:r>
    </w:p>
    <w:tbl>
      <w:tblPr>
        <w:tblStyle w:val="6"/>
        <w:tblW w:w="83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551"/>
        <w:gridCol w:w="1134"/>
        <w:gridCol w:w="1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>
        <w:trPr>
          <w:trHeight w:val="27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制定绿色建筑运营效果评估的技术方案和计划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定期检查、调适公共设施设备，具有检查、调试、运行、标定的记录，且记录完整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定期开展节能诊断评估，并根据评估结果制定优化方案并实施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定期对各类用水水质进行检测、公示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eastAsiaTheme="minor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numPr>
          <w:ilvl w:val="0"/>
          <w:numId w:val="1"/>
        </w:numPr>
        <w:spacing w:before="200" w:line="288" w:lineRule="auto"/>
        <w:rPr>
          <w:rFonts w:cs="宋体" w:eastAsiaTheme="minorEastAsia"/>
          <w:b/>
          <w:bCs/>
          <w:sz w:val="24"/>
          <w:lang w:val="zh-CN"/>
        </w:rPr>
      </w:pPr>
      <w:r>
        <w:rPr>
          <w:rFonts w:hint="eastAsia" w:cs="宋体" w:eastAsiaTheme="minorEastAsia"/>
          <w:b/>
          <w:bCs/>
          <w:sz w:val="24"/>
          <w:lang w:val="zh-CN"/>
        </w:rPr>
        <w:t>评价要点</w:t>
      </w:r>
    </w:p>
    <w:p>
      <w:pPr>
        <w:pStyle w:val="14"/>
        <w:numPr>
          <w:ilvl w:val="0"/>
          <w:numId w:val="2"/>
        </w:numPr>
        <w:spacing w:before="100" w:line="288" w:lineRule="auto"/>
        <w:outlineLvl w:val="9"/>
        <w:rPr>
          <w:rFonts w:eastAsiaTheme="minorEastAsia"/>
          <w:b/>
          <w:sz w:val="21"/>
          <w:szCs w:val="21"/>
        </w:rPr>
      </w:pPr>
      <w:r>
        <w:rPr>
          <w:rFonts w:hint="eastAsia" w:eastAsiaTheme="minorEastAsia"/>
          <w:b/>
          <w:sz w:val="21"/>
          <w:szCs w:val="21"/>
        </w:rPr>
        <w:t>绿色建筑运营效果评估的技术方案和计划</w:t>
      </w:r>
    </w:p>
    <w:p>
      <w:pPr>
        <w:pStyle w:val="14"/>
        <w:spacing w:line="288" w:lineRule="auto"/>
        <w:outlineLvl w:val="9"/>
        <w:rPr>
          <w:rFonts w:eastAsiaTheme="minorEastAsia"/>
          <w:sz w:val="21"/>
          <w:szCs w:val="21"/>
        </w:rPr>
      </w:pPr>
      <w:r>
        <w:rPr>
          <w:rFonts w:hint="eastAsia" w:cs="宋体" w:eastAsiaTheme="minorEastAsia"/>
          <w:color w:val="000000"/>
          <w:sz w:val="22"/>
          <w:szCs w:val="22"/>
        </w:rPr>
        <w:t>简述绿色建筑运营效果评估的技术方案和计划</w:t>
      </w:r>
      <w:r>
        <w:rPr>
          <w:rFonts w:eastAsiaTheme="minorEastAsia"/>
          <w:sz w:val="21"/>
          <w:szCs w:val="21"/>
        </w:rPr>
        <w:t>（300字以内）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8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ind w:firstLine="540" w:firstLineChars="250"/>
              <w:rPr>
                <w:rFonts w:eastAsiaTheme="minor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1制定</w:t>
            </w:r>
            <w:r>
              <w:rPr>
                <w:rStyle w:val="9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绿色建筑运营效果评估的技术方案和计划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，得3分； 2定期检查、调适公共设施设备，具有检查、调适、运行、标定记录，且记录完整，得3分； 3定期开展节能诊断评估，并根据评估结果制定优化方案并实施，得4分</w:t>
            </w:r>
          </w:p>
        </w:tc>
      </w:tr>
    </w:tbl>
    <w:p>
      <w:pPr>
        <w:pStyle w:val="15"/>
        <w:numPr>
          <w:ilvl w:val="0"/>
          <w:numId w:val="3"/>
        </w:numPr>
        <w:spacing w:before="100" w:line="288" w:lineRule="auto"/>
        <w:ind w:left="567" w:hanging="283" w:firstLineChars="0"/>
        <w:rPr>
          <w:rFonts w:eastAsiaTheme="minorEastAsia"/>
          <w:b/>
        </w:rPr>
      </w:pPr>
      <w:r>
        <w:rPr>
          <w:rFonts w:hint="eastAsia" w:eastAsiaTheme="minorEastAsia"/>
          <w:b/>
        </w:rPr>
        <w:t>设备运行记录</w:t>
      </w:r>
    </w:p>
    <w:p>
      <w:pPr>
        <w:spacing w:line="288" w:lineRule="auto"/>
        <w:rPr>
          <w:rFonts w:eastAsiaTheme="minorEastAsia"/>
        </w:rPr>
      </w:pPr>
      <w:r>
        <w:rPr>
          <w:rFonts w:eastAsiaTheme="minorEastAsia"/>
        </w:rPr>
        <w:t>物业部门是否</w:t>
      </w:r>
      <w:r>
        <w:rPr>
          <w:rFonts w:eastAsiaTheme="minorEastAsia"/>
          <w:bCs/>
        </w:rPr>
        <w:t>具有</w:t>
      </w:r>
      <w:r>
        <w:rPr>
          <w:rFonts w:hint="eastAsia" w:eastAsiaTheme="minorEastAsia"/>
          <w:bCs/>
        </w:rPr>
        <w:t>主要用能、用水</w:t>
      </w:r>
      <w:r>
        <w:rPr>
          <w:rFonts w:eastAsiaTheme="minorEastAsia"/>
          <w:bCs/>
        </w:rPr>
        <w:t>设施设备的检查、调试、运行、标定记录：</w:t>
      </w:r>
      <w:sdt>
        <w:sdtPr>
          <w:rPr>
            <w:rFonts w:hint="eastAsia" w:eastAsiaTheme="minorEastAsia"/>
            <w:sz w:val="28"/>
          </w:rPr>
          <w:id w:val="67615496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8"/>
              <w:szCs w:val="24"/>
              <w:lang w:val="en-US" w:eastAsia="zh-CN" w:bidi="ar-SA"/>
            </w:rPr>
            <w:t>R</w:t>
          </w:r>
        </w:sdtContent>
      </w:sdt>
      <w:r>
        <w:rPr>
          <w:rFonts w:eastAsiaTheme="minorEastAsia"/>
        </w:rPr>
        <w:t>是</w:t>
      </w:r>
      <w:r>
        <w:rPr>
          <w:rFonts w:hint="eastAsia" w:eastAsiaTheme="minorEastAsia"/>
        </w:rPr>
        <w:t xml:space="preserve"> </w:t>
      </w:r>
      <w:sdt>
        <w:sdtPr>
          <w:rPr>
            <w:rFonts w:hint="eastAsia" w:eastAsiaTheme="minorEastAsia"/>
            <w:sz w:val="28"/>
          </w:rPr>
          <w:id w:val="-59756861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eastAsiaTheme="minorEastAsia"/>
              <w:sz w:val="28"/>
            </w:rPr>
            <w:sym w:font="Wingdings 2" w:char="F0A3"/>
          </w:r>
        </w:sdtContent>
      </w:sdt>
      <w:r>
        <w:rPr>
          <w:rFonts w:eastAsiaTheme="minorEastAsia"/>
        </w:rPr>
        <w:t>否</w:t>
      </w:r>
    </w:p>
    <w:p>
      <w:pPr>
        <w:spacing w:line="288" w:lineRule="auto"/>
        <w:rPr>
          <w:rFonts w:eastAsiaTheme="minorEastAsia"/>
        </w:rPr>
      </w:pPr>
      <w:r>
        <w:rPr>
          <w:rFonts w:eastAsiaTheme="minorEastAsia"/>
        </w:rPr>
        <w:t>记录是否完整：</w:t>
      </w:r>
      <w:sdt>
        <w:sdtPr>
          <w:rPr>
            <w:rFonts w:hint="eastAsia" w:eastAsiaTheme="minor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8"/>
              <w:szCs w:val="24"/>
              <w:lang w:val="en-US" w:eastAsia="zh-CN" w:bidi="ar-SA"/>
            </w:rPr>
            <w:t>R</w:t>
          </w:r>
        </w:sdtContent>
      </w:sdt>
      <w:r>
        <w:rPr>
          <w:rFonts w:eastAsiaTheme="minorEastAsia"/>
        </w:rPr>
        <w:t>是</w:t>
      </w:r>
      <w:r>
        <w:rPr>
          <w:rFonts w:hint="eastAsia" w:eastAsiaTheme="minorEastAsia"/>
        </w:rPr>
        <w:t xml:space="preserve"> </w:t>
      </w:r>
      <w:sdt>
        <w:sdtPr>
          <w:rPr>
            <w:rFonts w:hint="eastAsia" w:eastAsiaTheme="minorEastAsia"/>
            <w:sz w:val="28"/>
          </w:rPr>
          <w:id w:val="175231225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eastAsiaTheme="minorEastAsia"/>
              <w:sz w:val="28"/>
            </w:rPr>
            <w:sym w:font="Wingdings 2" w:char="F0A3"/>
          </w:r>
        </w:sdtContent>
      </w:sdt>
      <w:r>
        <w:rPr>
          <w:rFonts w:eastAsiaTheme="minorEastAsia"/>
        </w:rPr>
        <w:t>否</w:t>
      </w:r>
    </w:p>
    <w:p>
      <w:pPr>
        <w:pStyle w:val="15"/>
        <w:numPr>
          <w:ilvl w:val="0"/>
          <w:numId w:val="3"/>
        </w:numPr>
        <w:spacing w:before="100" w:line="288" w:lineRule="auto"/>
        <w:ind w:left="567" w:hanging="283" w:firstLineChars="0"/>
        <w:rPr>
          <w:rFonts w:eastAsiaTheme="minorEastAsia"/>
          <w:b/>
        </w:rPr>
      </w:pPr>
      <w:r>
        <w:rPr>
          <w:rFonts w:eastAsiaTheme="minorEastAsia"/>
          <w:b/>
        </w:rPr>
        <w:t>改进方案</w:t>
      </w:r>
    </w:p>
    <w:p>
      <w:pPr>
        <w:spacing w:line="288" w:lineRule="auto"/>
        <w:rPr>
          <w:rFonts w:eastAsiaTheme="minorEastAsia"/>
          <w:bCs/>
        </w:rPr>
      </w:pPr>
      <w:r>
        <w:rPr>
          <w:rFonts w:eastAsiaTheme="minorEastAsia"/>
        </w:rPr>
        <w:t>简述</w:t>
      </w:r>
      <w:r>
        <w:rPr>
          <w:rFonts w:eastAsiaTheme="minorEastAsia"/>
          <w:bCs/>
        </w:rPr>
        <w:t>设备能效改进方案</w:t>
      </w:r>
      <w:r>
        <w:rPr>
          <w:rFonts w:hint="eastAsia" w:eastAsiaTheme="minorEastAsia"/>
          <w:bCs/>
        </w:rPr>
        <w:t>及效果</w:t>
      </w:r>
      <w:r>
        <w:rPr>
          <w:rFonts w:eastAsiaTheme="minorEastAsia"/>
          <w:bCs/>
        </w:rPr>
        <w:t>（</w:t>
      </w:r>
      <w:r>
        <w:rPr>
          <w:rFonts w:hint="eastAsia" w:eastAsiaTheme="minorEastAsia"/>
          <w:bCs/>
        </w:rPr>
        <w:t>20</w:t>
      </w:r>
      <w:r>
        <w:rPr>
          <w:rFonts w:eastAsiaTheme="minorEastAsia"/>
          <w:bCs/>
        </w:rPr>
        <w:t>0字以内）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ind w:firstLine="384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参考相关重点用能产品设备现行能效强制性国家标准，综合考虑我国相关产业技术水平和发展阶段，对标国内外同类产品设备先进能效水平，将有关产品设备能效水平划分为先进水平、节能水平、准入水平三档。准入水平为相关产品设备进入市场的最低能效水平门槛，数值与现行有关能效标准限定值一致；节能水平为不低于现行能效2级，与能效准入水平产品设备相比，更符合节能降碳工作要求，同时在3至5年内可转化为下一阶段的准入水平；先进水平为不低于能效1级，是当前相关产品设备所能达到先进能效水平。重点用能产品设备能效测试方法为相应国家标准的测试方法，涵盖范围将根据节能降碳工作需要适时调整和补充。重点用能产品设备能效的先进水平、节能水平、准入水平也将根据行业技术进步及能效标准制修订情况，及时进行调整，持续推动重点用能产品设备能效提升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eastAsia="zh-CN"/>
              </w:rPr>
              <w:t>。</w:t>
            </w:r>
          </w:p>
        </w:tc>
      </w:tr>
    </w:tbl>
    <w:p>
      <w:pPr>
        <w:numPr>
          <w:ilvl w:val="0"/>
          <w:numId w:val="1"/>
        </w:numPr>
        <w:spacing w:before="200" w:line="288" w:lineRule="auto"/>
        <w:rPr>
          <w:rFonts w:cs="宋体" w:eastAsiaTheme="minorEastAsia"/>
          <w:b/>
          <w:bCs/>
          <w:sz w:val="24"/>
          <w:lang w:val="zh-CN"/>
        </w:rPr>
      </w:pPr>
      <w:r>
        <w:rPr>
          <w:rFonts w:hint="eastAsia" w:cs="宋体" w:eastAsiaTheme="minorEastAsia"/>
          <w:b/>
          <w:bCs/>
          <w:sz w:val="24"/>
          <w:lang w:val="zh-CN"/>
        </w:rPr>
        <w:t>证明材料</w:t>
      </w:r>
    </w:p>
    <w:p>
      <w:pPr>
        <w:spacing w:before="156" w:beforeLines="50" w:after="156" w:afterLines="50" w:line="288" w:lineRule="auto"/>
        <w:rPr>
          <w:rFonts w:eastAsiaTheme="minorEastAsia"/>
          <w:b/>
        </w:rPr>
      </w:pPr>
      <w:r>
        <w:rPr>
          <w:rFonts w:hint="eastAsia" w:eastAsiaTheme="minorEastAsia"/>
          <w:b/>
        </w:rPr>
        <w:t>建议提交材料及技术要求：</w:t>
      </w:r>
    </w:p>
    <w:tbl>
      <w:tblPr>
        <w:tblStyle w:val="6"/>
        <w:tblW w:w="8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009"/>
        <w:gridCol w:w="3591"/>
        <w:gridCol w:w="1185"/>
        <w:gridCol w:w="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绿色运营效果评估相关的工作制度文件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应包括开展绿色建筑运营效果评估工作的责任分工、时间安排和具体流程内容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公共设施最近一年的巡检、调试、维保、标定记录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应包括时间、巡检员和部门配合人员的签名、及发现问题后的整改情况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tblHeader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能耗管理制度、历年的能耗记录、节能诊断评估报告、优化方案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能耗记录数据应全面、报告应明确项目所处的节能水平及优化潜力、优化方案应明确优化目标及措施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tblHeader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水质检测管理制度、历年的水质检测记录、检测报告、整改及公示记录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应保证至少每季度对各类用水水质的常规指标进行1次检测，明确不同周期的检测内容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</w:tbl>
    <w:p>
      <w:pPr>
        <w:spacing w:before="200"/>
        <w:rPr>
          <w:b/>
          <w:szCs w:val="21"/>
        </w:rPr>
      </w:pPr>
      <w:r>
        <w:rPr>
          <w:b/>
          <w:szCs w:val="21"/>
        </w:rPr>
        <w:t>实际提交材料：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>
      <w:pPr>
        <w:rPr>
          <w:rFonts w:eastAsiaTheme="minor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812801"/>
    <w:multiLevelType w:val="multilevel"/>
    <w:tmpl w:val="27812801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b/>
        <w:bCs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826252"/>
    <w:multiLevelType w:val="multilevel"/>
    <w:tmpl w:val="66826252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34F6709"/>
    <w:multiLevelType w:val="multilevel"/>
    <w:tmpl w:val="734F6709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wMTFhMWIyZDBmZmZkOTM4NzA4NTIyODViYmQ0NTMifQ=="/>
  </w:docVars>
  <w:rsids>
    <w:rsidRoot w:val="00E4438D"/>
    <w:rsid w:val="000E372B"/>
    <w:rsid w:val="00122989"/>
    <w:rsid w:val="0052371D"/>
    <w:rsid w:val="006E2A76"/>
    <w:rsid w:val="00865F1F"/>
    <w:rsid w:val="009953C6"/>
    <w:rsid w:val="00A509F1"/>
    <w:rsid w:val="00B81378"/>
    <w:rsid w:val="00E4438D"/>
    <w:rsid w:val="00F15412"/>
    <w:rsid w:val="00FE2261"/>
    <w:rsid w:val="00FE2B1A"/>
    <w:rsid w:val="44695818"/>
    <w:rsid w:val="7679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2"/>
    <w:next w:val="1"/>
    <w:link w:val="12"/>
    <w:qFormat/>
    <w:uiPriority w:val="0"/>
    <w:pPr>
      <w:snapToGrid w:val="0"/>
      <w:spacing w:before="120" w:after="120" w:line="240" w:lineRule="auto"/>
      <w:jc w:val="left"/>
      <w:outlineLvl w:val="2"/>
    </w:pPr>
    <w:rPr>
      <w:rFonts w:ascii="黑体" w:hAnsi="黑体" w:eastAsia="黑体" w:cs="Times New Roman"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3 Char"/>
    <w:basedOn w:val="8"/>
    <w:link w:val="3"/>
    <w:qFormat/>
    <w:uiPriority w:val="0"/>
    <w:rPr>
      <w:rFonts w:ascii="黑体" w:hAnsi="黑体" w:eastAsia="黑体" w:cs="Times New Roman"/>
      <w:b/>
      <w:bCs/>
      <w:kern w:val="0"/>
      <w:sz w:val="24"/>
      <w:szCs w:val="32"/>
    </w:rPr>
  </w:style>
  <w:style w:type="character" w:customStyle="1" w:styleId="13">
    <w:name w:val="条文 Char"/>
    <w:link w:val="1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4">
    <w:name w:val="条文"/>
    <w:basedOn w:val="1"/>
    <w:link w:val="13"/>
    <w:qFormat/>
    <w:uiPriority w:val="99"/>
    <w:pPr>
      <w:spacing w:line="300" w:lineRule="auto"/>
      <w:outlineLvl w:val="2"/>
    </w:pPr>
    <w:rPr>
      <w:sz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6">
    <w:name w:val="标题 2 Char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17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1076</Words>
  <Characters>1088</Characters>
  <Lines>5</Lines>
  <Paragraphs>1</Paragraphs>
  <TotalTime>8</TotalTime>
  <ScaleCrop>false</ScaleCrop>
  <LinksUpToDate>false</LinksUpToDate>
  <CharactersWithSpaces>1097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2020-06-04T02:16:00Z</dcterms:created>
  <dc:creator>dongYP</dc:creator>
  <cp:lastModifiedBy>晨岚</cp:lastModifiedBy>
  <dcterms:modified xsi:type="dcterms:W3CDTF">2023-02-25T12:46:35Z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51743168CFB84DAD9B6A00FBF5FC19A3</vt:lpwstr>
  </property>
</Properties>
</file>