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1037" w14:textId="77777777" w:rsidR="003548F9" w:rsidRPr="004806A9" w:rsidRDefault="003548F9" w:rsidP="003548F9">
      <w:pPr>
        <w:pStyle w:val="3"/>
        <w:spacing w:line="288" w:lineRule="auto"/>
        <w:rPr>
          <w:rFonts w:ascii="Times New Roman" w:eastAsiaTheme="minorEastAsia" w:hAnsi="Times New Roman"/>
        </w:rPr>
      </w:pPr>
      <w:r w:rsidRPr="004806A9">
        <w:rPr>
          <w:rFonts w:ascii="Times New Roman" w:eastAsiaTheme="minorEastAsia" w:hAnsi="Times New Roman" w:hint="eastAsia"/>
        </w:rPr>
        <w:t>7</w:t>
      </w:r>
      <w:r w:rsidRPr="004806A9">
        <w:rPr>
          <w:rFonts w:ascii="Times New Roman" w:eastAsiaTheme="minorEastAsia" w:hAnsi="Times New Roman"/>
        </w:rPr>
        <w:t>.</w:t>
      </w:r>
      <w:r w:rsidRPr="004806A9">
        <w:rPr>
          <w:rFonts w:ascii="Times New Roman" w:eastAsiaTheme="minorEastAsia" w:hAnsi="Times New Roman" w:hint="eastAsia"/>
        </w:rPr>
        <w:t>1</w:t>
      </w:r>
      <w:r w:rsidRPr="004806A9">
        <w:rPr>
          <w:rFonts w:ascii="Times New Roman" w:eastAsiaTheme="minorEastAsia" w:hAnsi="Times New Roman"/>
        </w:rPr>
        <w:t>.</w:t>
      </w:r>
      <w:r w:rsidRPr="004806A9">
        <w:rPr>
          <w:rFonts w:ascii="Times New Roman" w:eastAsiaTheme="minorEastAsia" w:hAnsi="Times New Roman" w:hint="eastAsia"/>
        </w:rPr>
        <w:t>8</w:t>
      </w:r>
      <w:r w:rsidRPr="004806A9">
        <w:rPr>
          <w:rFonts w:ascii="Times New Roman" w:eastAsiaTheme="minorEastAsia" w:hAnsi="Times New Roman" w:hint="eastAsia"/>
        </w:rPr>
        <w:t>不应采用建筑形体和布置严重不规则的建筑结构。</w:t>
      </w:r>
    </w:p>
    <w:p w14:paraId="10E3D983" w14:textId="77777777" w:rsidR="003548F9" w:rsidRPr="004806A9" w:rsidRDefault="003548F9" w:rsidP="003548F9">
      <w:pPr>
        <w:numPr>
          <w:ilvl w:val="0"/>
          <w:numId w:val="3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4806A9">
        <w:rPr>
          <w:rFonts w:eastAsiaTheme="minorEastAsia" w:cs="宋体" w:hint="eastAsia"/>
          <w:b/>
          <w:bCs/>
          <w:sz w:val="24"/>
          <w:lang w:val="zh-CN"/>
        </w:rPr>
        <w:t>达标自评</w:t>
      </w:r>
    </w:p>
    <w:p w14:paraId="101C2DAA" w14:textId="039A3697" w:rsidR="003548F9" w:rsidRPr="004806A9" w:rsidRDefault="00000000" w:rsidP="003548F9">
      <w:pPr>
        <w:spacing w:line="288" w:lineRule="auto"/>
        <w:rPr>
          <w:rFonts w:eastAsiaTheme="minorEastAsia"/>
          <w:lang w:val="zh-CN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E36CC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3548F9" w:rsidRPr="004806A9">
        <w:rPr>
          <w:rFonts w:eastAsiaTheme="minorEastAsia" w:hint="eastAsia"/>
          <w:lang w:val="zh-CN"/>
        </w:rPr>
        <w:t>达标；</w:t>
      </w:r>
      <w:sdt>
        <w:sdtPr>
          <w:rPr>
            <w:rFonts w:eastAsiaTheme="minorEastAsia" w:hint="eastAsia"/>
            <w:sz w:val="28"/>
          </w:rPr>
          <w:id w:val="151449540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3548F9" w:rsidRPr="004806A9">
        <w:rPr>
          <w:rFonts w:eastAsiaTheme="minorEastAsia" w:hint="eastAsia"/>
          <w:lang w:val="zh-CN"/>
        </w:rPr>
        <w:t>不达标</w:t>
      </w:r>
    </w:p>
    <w:p w14:paraId="241099A4" w14:textId="77777777" w:rsidR="003548F9" w:rsidRPr="004806A9" w:rsidRDefault="003548F9" w:rsidP="004806A9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4806A9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2BE2FBFA" w14:textId="77777777" w:rsidR="003548F9" w:rsidRPr="004806A9" w:rsidRDefault="003548F9" w:rsidP="004806A9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 w:cs="宋体"/>
        </w:rPr>
      </w:pPr>
      <w:r w:rsidRPr="004806A9">
        <w:rPr>
          <w:rFonts w:eastAsiaTheme="minorEastAsia" w:hint="eastAsia"/>
          <w:b/>
        </w:rPr>
        <w:t>建筑形体规则</w:t>
      </w:r>
    </w:p>
    <w:p w14:paraId="3DE95FAA" w14:textId="2FE5FB32" w:rsidR="003548F9" w:rsidRPr="004806A9" w:rsidRDefault="003548F9" w:rsidP="003548F9">
      <w:pPr>
        <w:spacing w:line="288" w:lineRule="auto"/>
        <w:rPr>
          <w:rFonts w:eastAsiaTheme="minorEastAsia"/>
          <w:bCs/>
          <w:kern w:val="0"/>
        </w:rPr>
      </w:pPr>
      <w:r w:rsidRPr="004806A9">
        <w:rPr>
          <w:rFonts w:eastAsiaTheme="minorEastAsia" w:hint="eastAsia"/>
          <w:kern w:val="0"/>
        </w:rPr>
        <w:t>本项目</w:t>
      </w:r>
      <w:r w:rsidRPr="004806A9">
        <w:rPr>
          <w:rFonts w:eastAsiaTheme="minorEastAsia"/>
          <w:kern w:val="0"/>
        </w:rPr>
        <w:t>建筑形体规则性：</w:t>
      </w:r>
      <w:sdt>
        <w:sdtPr>
          <w:rPr>
            <w:rFonts w:eastAsiaTheme="minorEastAsia" w:hint="eastAsia"/>
            <w:sz w:val="28"/>
          </w:rPr>
          <w:id w:val="98821244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E36CC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4806A9">
        <w:rPr>
          <w:rFonts w:eastAsiaTheme="minorEastAsia" w:hint="eastAsia"/>
          <w:kern w:val="0"/>
        </w:rPr>
        <w:t>规则；</w:t>
      </w:r>
      <w:sdt>
        <w:sdtPr>
          <w:rPr>
            <w:rFonts w:eastAsiaTheme="minorEastAsia" w:hint="eastAsia"/>
            <w:sz w:val="28"/>
          </w:rPr>
          <w:id w:val="21204089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806A9">
        <w:rPr>
          <w:rFonts w:eastAsiaTheme="minorEastAsia" w:hint="eastAsia"/>
          <w:kern w:val="0"/>
        </w:rPr>
        <w:t>不规则；</w:t>
      </w:r>
      <w:sdt>
        <w:sdtPr>
          <w:rPr>
            <w:rFonts w:eastAsiaTheme="minorEastAsia" w:hint="eastAsia"/>
            <w:sz w:val="28"/>
          </w:rPr>
          <w:id w:val="12813795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806A9">
        <w:rPr>
          <w:rFonts w:eastAsiaTheme="minorEastAsia" w:hint="eastAsia"/>
          <w:kern w:val="0"/>
        </w:rPr>
        <w:t>特别不规则；</w:t>
      </w:r>
      <w:sdt>
        <w:sdtPr>
          <w:rPr>
            <w:rFonts w:eastAsiaTheme="minorEastAsia" w:hint="eastAsia"/>
            <w:sz w:val="28"/>
          </w:rPr>
          <w:id w:val="16766160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806A9">
        <w:rPr>
          <w:rFonts w:eastAsiaTheme="minorEastAsia" w:hint="eastAsia"/>
          <w:kern w:val="0"/>
        </w:rPr>
        <w:t>严重不规则；</w:t>
      </w:r>
    </w:p>
    <w:p w14:paraId="3D07DF4A" w14:textId="77777777" w:rsidR="003548F9" w:rsidRPr="004806A9" w:rsidRDefault="003548F9" w:rsidP="004806A9">
      <w:pPr>
        <w:spacing w:before="100" w:line="288" w:lineRule="auto"/>
        <w:rPr>
          <w:rFonts w:eastAsiaTheme="minorEastAsia"/>
          <w:bCs/>
          <w:kern w:val="0"/>
        </w:rPr>
      </w:pPr>
      <w:r w:rsidRPr="004806A9">
        <w:rPr>
          <w:rFonts w:eastAsiaTheme="minorEastAsia"/>
          <w:bCs/>
          <w:kern w:val="0"/>
        </w:rPr>
        <w:t>平面不规则的主要类型</w:t>
      </w:r>
      <w:r w:rsidRPr="004806A9">
        <w:rPr>
          <w:rFonts w:eastAsiaTheme="minorEastAsia" w:hint="eastAsia"/>
          <w:bCs/>
          <w:kern w:val="0"/>
        </w:rPr>
        <w:t>判定：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381"/>
        <w:gridCol w:w="1864"/>
      </w:tblGrid>
      <w:tr w:rsidR="003548F9" w:rsidRPr="004806A9" w14:paraId="13968749" w14:textId="77777777" w:rsidTr="004806A9">
        <w:trPr>
          <w:trHeight w:val="283"/>
          <w:jc w:val="center"/>
        </w:trPr>
        <w:tc>
          <w:tcPr>
            <w:tcW w:w="1277" w:type="dxa"/>
            <w:vAlign w:val="center"/>
          </w:tcPr>
          <w:p w14:paraId="720DEE40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不规则类型</w:t>
            </w:r>
          </w:p>
        </w:tc>
        <w:tc>
          <w:tcPr>
            <w:tcW w:w="5381" w:type="dxa"/>
            <w:vAlign w:val="center"/>
          </w:tcPr>
          <w:p w14:paraId="1B79FB52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定义和参考指标</w:t>
            </w:r>
          </w:p>
        </w:tc>
        <w:tc>
          <w:tcPr>
            <w:tcW w:w="1864" w:type="dxa"/>
            <w:vAlign w:val="center"/>
          </w:tcPr>
          <w:p w14:paraId="31AB4C2F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color w:val="000000" w:themeColor="text1"/>
                <w:szCs w:val="18"/>
              </w:rPr>
            </w:pP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指标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值</w:t>
            </w: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（是</w:t>
            </w: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/</w:t>
            </w: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否）</w:t>
            </w:r>
          </w:p>
        </w:tc>
      </w:tr>
      <w:tr w:rsidR="003548F9" w:rsidRPr="004806A9" w14:paraId="61B9361A" w14:textId="77777777" w:rsidTr="004806A9">
        <w:trPr>
          <w:trHeight w:val="567"/>
          <w:jc w:val="center"/>
        </w:trPr>
        <w:tc>
          <w:tcPr>
            <w:tcW w:w="1277" w:type="dxa"/>
            <w:vAlign w:val="center"/>
          </w:tcPr>
          <w:p w14:paraId="10D0B7B1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扭转不规则</w:t>
            </w:r>
          </w:p>
        </w:tc>
        <w:tc>
          <w:tcPr>
            <w:tcW w:w="5381" w:type="dxa"/>
            <w:vAlign w:val="center"/>
          </w:tcPr>
          <w:p w14:paraId="3223AF4F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在规定的水平力作用下，楼层的最大弹性水平位移或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(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层间位移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)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，大于该楼层两端弹性水平位移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(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或层间位移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)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平均值的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1.2 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倍</w:t>
            </w:r>
          </w:p>
        </w:tc>
        <w:tc>
          <w:tcPr>
            <w:tcW w:w="1864" w:type="dxa"/>
            <w:vAlign w:val="center"/>
          </w:tcPr>
          <w:p w14:paraId="1E093168" w14:textId="12587757" w:rsidR="003548F9" w:rsidRPr="00FE36CC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color w:val="000000" w:themeColor="text1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7AA99467" w14:textId="77777777" w:rsidTr="004806A9">
        <w:trPr>
          <w:trHeight w:val="283"/>
          <w:jc w:val="center"/>
        </w:trPr>
        <w:tc>
          <w:tcPr>
            <w:tcW w:w="1277" w:type="dxa"/>
            <w:vAlign w:val="center"/>
          </w:tcPr>
          <w:p w14:paraId="195D5CB0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凹凸不规则</w:t>
            </w:r>
          </w:p>
        </w:tc>
        <w:tc>
          <w:tcPr>
            <w:tcW w:w="5381" w:type="dxa"/>
            <w:vAlign w:val="center"/>
          </w:tcPr>
          <w:p w14:paraId="2DB98C3A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平面凹进的尺寸，大于相应投影方向总尺寸的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30%</w:t>
            </w:r>
          </w:p>
        </w:tc>
        <w:tc>
          <w:tcPr>
            <w:tcW w:w="1864" w:type="dxa"/>
            <w:vAlign w:val="center"/>
          </w:tcPr>
          <w:p w14:paraId="42456111" w14:textId="27517F73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color w:val="000000" w:themeColor="text1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29AB5DE7" w14:textId="77777777" w:rsidTr="004806A9">
        <w:trPr>
          <w:trHeight w:val="567"/>
          <w:jc w:val="center"/>
        </w:trPr>
        <w:tc>
          <w:tcPr>
            <w:tcW w:w="1277" w:type="dxa"/>
            <w:vAlign w:val="center"/>
          </w:tcPr>
          <w:p w14:paraId="56AF1B58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楼板局部不连续</w:t>
            </w:r>
          </w:p>
        </w:tc>
        <w:tc>
          <w:tcPr>
            <w:tcW w:w="5381" w:type="dxa"/>
            <w:vAlign w:val="center"/>
          </w:tcPr>
          <w:p w14:paraId="16B8D66A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楼板的尺寸和平面刚度急剧变化，例如，有效楼板宽度小于该层楼板典型宽度的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50%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，或开洞面积大于该层楼面面积的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30%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，或较大的楼层错层</w:t>
            </w:r>
          </w:p>
        </w:tc>
        <w:tc>
          <w:tcPr>
            <w:tcW w:w="1864" w:type="dxa"/>
            <w:vAlign w:val="center"/>
          </w:tcPr>
          <w:p w14:paraId="4C065302" w14:textId="1F384833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color w:val="000000" w:themeColor="text1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</w:tbl>
    <w:p w14:paraId="2E3E2928" w14:textId="77777777" w:rsidR="003548F9" w:rsidRPr="004806A9" w:rsidRDefault="003548F9" w:rsidP="004806A9">
      <w:pPr>
        <w:spacing w:before="100" w:line="288" w:lineRule="auto"/>
        <w:rPr>
          <w:rFonts w:eastAsiaTheme="minorEastAsia"/>
          <w:bCs/>
          <w:kern w:val="0"/>
        </w:rPr>
      </w:pPr>
      <w:r w:rsidRPr="004806A9">
        <w:rPr>
          <w:rFonts w:eastAsiaTheme="minorEastAsia"/>
          <w:bCs/>
          <w:kern w:val="0"/>
        </w:rPr>
        <w:t>竖向不规则的主要类型</w:t>
      </w:r>
      <w:r w:rsidRPr="004806A9">
        <w:rPr>
          <w:rFonts w:eastAsiaTheme="minorEastAsia" w:hint="eastAsia"/>
          <w:bCs/>
          <w:kern w:val="0"/>
        </w:rPr>
        <w:t>判定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5061"/>
        <w:gridCol w:w="1864"/>
      </w:tblGrid>
      <w:tr w:rsidR="003548F9" w:rsidRPr="004806A9" w14:paraId="6E8C39D8" w14:textId="77777777" w:rsidTr="004806A9">
        <w:trPr>
          <w:trHeight w:val="274"/>
          <w:jc w:val="center"/>
        </w:trPr>
        <w:tc>
          <w:tcPr>
            <w:tcW w:w="1597" w:type="dxa"/>
            <w:vAlign w:val="center"/>
          </w:tcPr>
          <w:p w14:paraId="21BDACE3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不规则类型</w:t>
            </w:r>
          </w:p>
        </w:tc>
        <w:tc>
          <w:tcPr>
            <w:tcW w:w="5061" w:type="dxa"/>
            <w:vAlign w:val="center"/>
          </w:tcPr>
          <w:p w14:paraId="049E53A4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定义和参考指标</w:t>
            </w:r>
          </w:p>
        </w:tc>
        <w:tc>
          <w:tcPr>
            <w:tcW w:w="1864" w:type="dxa"/>
            <w:vAlign w:val="center"/>
          </w:tcPr>
          <w:p w14:paraId="48FB5F84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 w:hint="eastAsia"/>
                <w:szCs w:val="18"/>
              </w:rPr>
              <w:t>指标</w:t>
            </w:r>
            <w:r w:rsidRPr="004806A9">
              <w:rPr>
                <w:rFonts w:eastAsiaTheme="minorEastAsia"/>
                <w:szCs w:val="18"/>
              </w:rPr>
              <w:t>值</w:t>
            </w:r>
            <w:r w:rsidRPr="004806A9">
              <w:rPr>
                <w:rFonts w:eastAsiaTheme="minorEastAsia" w:hint="eastAsia"/>
                <w:szCs w:val="18"/>
              </w:rPr>
              <w:t>（是</w:t>
            </w:r>
            <w:r w:rsidRPr="004806A9">
              <w:rPr>
                <w:rFonts w:eastAsiaTheme="minorEastAsia" w:hint="eastAsia"/>
                <w:szCs w:val="18"/>
              </w:rPr>
              <w:t>/</w:t>
            </w:r>
            <w:r w:rsidRPr="004806A9">
              <w:rPr>
                <w:rFonts w:eastAsiaTheme="minorEastAsia" w:hint="eastAsia"/>
                <w:szCs w:val="18"/>
              </w:rPr>
              <w:t>否）</w:t>
            </w:r>
          </w:p>
        </w:tc>
      </w:tr>
      <w:tr w:rsidR="003548F9" w:rsidRPr="004806A9" w14:paraId="7F3ED601" w14:textId="77777777" w:rsidTr="004806A9">
        <w:trPr>
          <w:trHeight w:val="822"/>
          <w:jc w:val="center"/>
        </w:trPr>
        <w:tc>
          <w:tcPr>
            <w:tcW w:w="1597" w:type="dxa"/>
            <w:vAlign w:val="center"/>
          </w:tcPr>
          <w:p w14:paraId="14940D15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侧向刚度不规则</w:t>
            </w:r>
          </w:p>
        </w:tc>
        <w:tc>
          <w:tcPr>
            <w:tcW w:w="5061" w:type="dxa"/>
            <w:vAlign w:val="center"/>
          </w:tcPr>
          <w:p w14:paraId="0EC68A9D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该层的侧向刚度小于相邻上一层的</w:t>
            </w:r>
            <w:r w:rsidRPr="004806A9">
              <w:rPr>
                <w:rFonts w:eastAsiaTheme="minorEastAsia"/>
                <w:szCs w:val="18"/>
              </w:rPr>
              <w:t xml:space="preserve"> 70%</w:t>
            </w:r>
            <w:r w:rsidRPr="004806A9">
              <w:rPr>
                <w:rFonts w:eastAsiaTheme="minorEastAsia"/>
                <w:szCs w:val="18"/>
              </w:rPr>
              <w:t>，或小于其上相邻三个楼层侧向刚度平均值的</w:t>
            </w:r>
            <w:r w:rsidRPr="004806A9">
              <w:rPr>
                <w:rFonts w:eastAsiaTheme="minorEastAsia"/>
                <w:szCs w:val="18"/>
              </w:rPr>
              <w:t>80%</w:t>
            </w:r>
            <w:r w:rsidRPr="004806A9">
              <w:rPr>
                <w:rFonts w:eastAsiaTheme="minorEastAsia"/>
                <w:szCs w:val="18"/>
              </w:rPr>
              <w:t>；除顶层或出屋面小建筑外，局部收进的水平向尺寸大于相邻下一层的</w:t>
            </w:r>
            <w:r w:rsidRPr="004806A9">
              <w:rPr>
                <w:rFonts w:eastAsiaTheme="minorEastAsia"/>
                <w:szCs w:val="18"/>
              </w:rPr>
              <w:t xml:space="preserve"> 25</w:t>
            </w:r>
            <w:r w:rsidRPr="004806A9">
              <w:rPr>
                <w:rFonts w:eastAsiaTheme="minorEastAsia"/>
                <w:szCs w:val="18"/>
              </w:rPr>
              <w:t>％</w:t>
            </w:r>
          </w:p>
        </w:tc>
        <w:tc>
          <w:tcPr>
            <w:tcW w:w="1864" w:type="dxa"/>
            <w:vAlign w:val="center"/>
          </w:tcPr>
          <w:p w14:paraId="71C07469" w14:textId="7C9327AE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3D6BE788" w14:textId="77777777" w:rsidTr="004806A9">
        <w:trPr>
          <w:trHeight w:val="548"/>
          <w:jc w:val="center"/>
        </w:trPr>
        <w:tc>
          <w:tcPr>
            <w:tcW w:w="1597" w:type="dxa"/>
            <w:vAlign w:val="center"/>
          </w:tcPr>
          <w:p w14:paraId="28A4D9ED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竖向抗侧力构件不连续</w:t>
            </w:r>
          </w:p>
        </w:tc>
        <w:tc>
          <w:tcPr>
            <w:tcW w:w="5061" w:type="dxa"/>
            <w:vAlign w:val="center"/>
          </w:tcPr>
          <w:p w14:paraId="574932C9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竖向抗侧力构件</w:t>
            </w:r>
            <w:r w:rsidRPr="004806A9">
              <w:rPr>
                <w:rFonts w:eastAsiaTheme="minorEastAsia"/>
                <w:szCs w:val="18"/>
              </w:rPr>
              <w:t>(</w:t>
            </w:r>
            <w:r w:rsidRPr="004806A9">
              <w:rPr>
                <w:rFonts w:eastAsiaTheme="minorEastAsia"/>
                <w:szCs w:val="18"/>
              </w:rPr>
              <w:t>柱、抗震墙、抗震支撑</w:t>
            </w:r>
            <w:r w:rsidRPr="004806A9">
              <w:rPr>
                <w:rFonts w:eastAsiaTheme="minorEastAsia"/>
                <w:szCs w:val="18"/>
              </w:rPr>
              <w:t>)</w:t>
            </w:r>
            <w:r w:rsidRPr="004806A9">
              <w:rPr>
                <w:rFonts w:eastAsiaTheme="minorEastAsia"/>
                <w:szCs w:val="18"/>
              </w:rPr>
              <w:t>的内力由水平转换构件</w:t>
            </w:r>
            <w:r w:rsidRPr="004806A9">
              <w:rPr>
                <w:rFonts w:eastAsiaTheme="minorEastAsia"/>
                <w:szCs w:val="18"/>
              </w:rPr>
              <w:t>(</w:t>
            </w:r>
            <w:r w:rsidRPr="004806A9">
              <w:rPr>
                <w:rFonts w:eastAsiaTheme="minorEastAsia"/>
                <w:szCs w:val="18"/>
              </w:rPr>
              <w:t>梁、桁架等</w:t>
            </w:r>
            <w:r w:rsidRPr="004806A9">
              <w:rPr>
                <w:rFonts w:eastAsiaTheme="minorEastAsia"/>
                <w:szCs w:val="18"/>
              </w:rPr>
              <w:t>)</w:t>
            </w:r>
            <w:r w:rsidRPr="004806A9">
              <w:rPr>
                <w:rFonts w:eastAsiaTheme="minorEastAsia"/>
                <w:szCs w:val="18"/>
              </w:rPr>
              <w:t>向下传递</w:t>
            </w:r>
          </w:p>
        </w:tc>
        <w:tc>
          <w:tcPr>
            <w:tcW w:w="1864" w:type="dxa"/>
            <w:vAlign w:val="center"/>
          </w:tcPr>
          <w:p w14:paraId="2E2E331F" w14:textId="5E78E301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6BE5613E" w14:textId="77777777" w:rsidTr="004806A9">
        <w:trPr>
          <w:trHeight w:val="291"/>
          <w:jc w:val="center"/>
        </w:trPr>
        <w:tc>
          <w:tcPr>
            <w:tcW w:w="1597" w:type="dxa"/>
            <w:vAlign w:val="center"/>
          </w:tcPr>
          <w:p w14:paraId="6F9E19E1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楼层承载力突变</w:t>
            </w:r>
          </w:p>
        </w:tc>
        <w:tc>
          <w:tcPr>
            <w:tcW w:w="5061" w:type="dxa"/>
            <w:vAlign w:val="center"/>
          </w:tcPr>
          <w:p w14:paraId="1F53C5E6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抗侧力结构的层间受剪承载力小于相邻上一楼层的</w:t>
            </w:r>
            <w:r w:rsidRPr="004806A9">
              <w:rPr>
                <w:rFonts w:eastAsiaTheme="minorEastAsia"/>
                <w:szCs w:val="18"/>
              </w:rPr>
              <w:t xml:space="preserve"> 80%</w:t>
            </w:r>
          </w:p>
        </w:tc>
        <w:tc>
          <w:tcPr>
            <w:tcW w:w="1864" w:type="dxa"/>
            <w:vAlign w:val="center"/>
          </w:tcPr>
          <w:p w14:paraId="6BDBD774" w14:textId="13F01ACE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</w:tbl>
    <w:p w14:paraId="59D07B23" w14:textId="3B60B28D" w:rsidR="003548F9" w:rsidRPr="004806A9" w:rsidRDefault="003548F9" w:rsidP="004806A9">
      <w:pPr>
        <w:spacing w:before="100" w:line="288" w:lineRule="auto"/>
        <w:rPr>
          <w:rFonts w:eastAsiaTheme="minorEastAsia"/>
        </w:rPr>
      </w:pPr>
      <w:r w:rsidRPr="004806A9">
        <w:rPr>
          <w:rFonts w:eastAsiaTheme="minorEastAsia" w:hint="eastAsia"/>
          <w:bCs/>
          <w:kern w:val="0"/>
        </w:rPr>
        <w:t>其他</w:t>
      </w:r>
      <w:r w:rsidRPr="004806A9">
        <w:rPr>
          <w:rFonts w:eastAsiaTheme="minorEastAsia"/>
          <w:bCs/>
          <w:kern w:val="0"/>
        </w:rPr>
        <w:t>不</w:t>
      </w:r>
      <w:r w:rsidRPr="004806A9">
        <w:rPr>
          <w:rFonts w:eastAsiaTheme="minorEastAsia" w:hint="eastAsia"/>
          <w:bCs/>
          <w:kern w:val="0"/>
        </w:rPr>
        <w:t>规则类型</w:t>
      </w:r>
      <w:r w:rsidRPr="004806A9">
        <w:rPr>
          <w:rFonts w:eastAsiaTheme="minorEastAsia"/>
          <w:lang w:val="zh-CN"/>
        </w:rPr>
        <w:t>__</w:t>
      </w:r>
      <w:r w:rsidRPr="004806A9">
        <w:rPr>
          <w:rFonts w:eastAsiaTheme="minorEastAsia"/>
          <w:u w:val="single"/>
          <w:lang w:val="zh-CN"/>
        </w:rPr>
        <w:t>_</w:t>
      </w:r>
      <w:r w:rsidRPr="004806A9">
        <w:rPr>
          <w:rFonts w:eastAsiaTheme="minorEastAsia" w:hint="eastAsia"/>
          <w:u w:val="single"/>
          <w:lang w:val="zh-CN"/>
        </w:rPr>
        <w:t xml:space="preserve">  </w:t>
      </w:r>
      <w:r w:rsidR="00FE36CC">
        <w:rPr>
          <w:rFonts w:eastAsiaTheme="minorEastAsia" w:hint="eastAsia"/>
          <w:u w:val="single"/>
          <w:lang w:val="zh-CN"/>
        </w:rPr>
        <w:t>无</w:t>
      </w:r>
      <w:r w:rsidRPr="004806A9">
        <w:rPr>
          <w:rFonts w:eastAsiaTheme="minorEastAsia" w:hint="eastAsia"/>
          <w:u w:val="single"/>
          <w:lang w:val="zh-CN"/>
        </w:rPr>
        <w:t xml:space="preserve">         </w:t>
      </w:r>
      <w:r w:rsidRPr="004806A9">
        <w:rPr>
          <w:rFonts w:eastAsiaTheme="minorEastAsia"/>
          <w:u w:val="single"/>
          <w:lang w:val="zh-CN"/>
        </w:rPr>
        <w:t>_</w:t>
      </w:r>
      <w:r w:rsidRPr="004806A9">
        <w:rPr>
          <w:rFonts w:eastAsiaTheme="minorEastAsia" w:hint="eastAsia"/>
          <w:bCs/>
          <w:kern w:val="0"/>
        </w:rPr>
        <w:t>。</w:t>
      </w:r>
    </w:p>
    <w:p w14:paraId="2E10D20C" w14:textId="77777777" w:rsidR="003548F9" w:rsidRPr="004806A9" w:rsidRDefault="003548F9" w:rsidP="004806A9">
      <w:pPr>
        <w:numPr>
          <w:ilvl w:val="0"/>
          <w:numId w:val="2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4806A9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5656D227" w14:textId="77777777" w:rsidR="003548F9" w:rsidRPr="004806A9" w:rsidRDefault="003548F9" w:rsidP="003548F9">
      <w:pPr>
        <w:spacing w:beforeLines="50" w:before="156" w:afterLines="50" w:after="156" w:line="288" w:lineRule="auto"/>
        <w:rPr>
          <w:rFonts w:eastAsiaTheme="minorEastAsia"/>
          <w:b/>
        </w:rPr>
      </w:pPr>
      <w:r w:rsidRPr="004806A9">
        <w:rPr>
          <w:rFonts w:eastAsiaTheme="minorEastAsia" w:hint="eastAsia"/>
          <w:b/>
        </w:rPr>
        <w:t>建议提交材料及技术要求：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3827"/>
        <w:gridCol w:w="1191"/>
        <w:gridCol w:w="834"/>
      </w:tblGrid>
      <w:tr w:rsidR="003548F9" w:rsidRPr="004806A9" w14:paraId="6077EF49" w14:textId="77777777" w:rsidTr="001948CD">
        <w:trPr>
          <w:trHeight w:val="540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  <w:hideMark/>
          </w:tcPr>
          <w:p w14:paraId="5BC8FA0F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398" w:type="dxa"/>
            <w:shd w:val="clear" w:color="DBE5F1" w:fill="DBE5F1"/>
            <w:vAlign w:val="center"/>
            <w:hideMark/>
          </w:tcPr>
          <w:p w14:paraId="482DEDC3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27" w:type="dxa"/>
            <w:shd w:val="clear" w:color="DBE5F1" w:fill="DBE5F1"/>
            <w:vAlign w:val="center"/>
            <w:hideMark/>
          </w:tcPr>
          <w:p w14:paraId="2507234A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  <w:hideMark/>
          </w:tcPr>
          <w:p w14:paraId="1DE1925F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34" w:type="dxa"/>
            <w:shd w:val="clear" w:color="DBE5F1" w:fill="DBE5F1"/>
            <w:noWrap/>
            <w:vAlign w:val="center"/>
            <w:hideMark/>
          </w:tcPr>
          <w:p w14:paraId="71B8FABC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3548F9" w:rsidRPr="004806A9" w14:paraId="1327FD21" w14:textId="77777777" w:rsidTr="001948CD">
        <w:trPr>
          <w:trHeight w:val="27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3C06C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9E792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建筑立面图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559B17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应体现建筑形体竖向的形状、尺寸和变化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8D08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9CE5747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3DF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0F36BEEA" w14:textId="77777777" w:rsidTr="001948CD">
        <w:trPr>
          <w:trHeight w:val="27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689AC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C452D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建筑剖面图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6CA4E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应体现建筑形体竖向剖面的形状、尺寸和变化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BFD56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F728E67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E2A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23213EDB" w14:textId="77777777" w:rsidTr="001948CD">
        <w:trPr>
          <w:trHeight w:val="27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6E203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9601D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建筑平面图</w:t>
            </w: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8F5E6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应体现建筑形体平面的形状、尺寸和变化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E6FB1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65FABCD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8A6D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749DE6AA" w14:textId="77777777" w:rsidTr="001948CD">
        <w:trPr>
          <w:trHeight w:val="270"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5276F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结构设计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698EE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结构平面布置图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5A081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应体现结构平面各部位的尺寸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7B37A0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211C8E6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5E0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68D4438C" w14:textId="77777777" w:rsidTr="001948CD">
        <w:trPr>
          <w:trHeight w:val="27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6F513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4DAB4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建筑形体规则性判定报告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70E73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应包括项目存在的各种不规则类型及相应的指标，并判定建筑形体的不规则性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0A33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B9E17C0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DB3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230428D" w14:textId="77777777" w:rsidR="004806A9" w:rsidRPr="00AA3473" w:rsidRDefault="004806A9" w:rsidP="004806A9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806A9" w:rsidRPr="00547320" w14:paraId="495B2C12" w14:textId="77777777" w:rsidTr="006B73B4">
        <w:trPr>
          <w:trHeight w:val="2634"/>
          <w:jc w:val="center"/>
        </w:trPr>
        <w:tc>
          <w:tcPr>
            <w:tcW w:w="9356" w:type="dxa"/>
          </w:tcPr>
          <w:p w14:paraId="0075FC42" w14:textId="7F830515" w:rsidR="004806A9" w:rsidRPr="00547320" w:rsidRDefault="00B063F6" w:rsidP="006B73B4">
            <w:pPr>
              <w:rPr>
                <w:szCs w:val="21"/>
              </w:rPr>
            </w:pPr>
            <w:hyperlink r:id="rId7" w:anchor=".dwg" w:history="1">
              <w:r w:rsidRPr="00B063F6">
                <w:rPr>
                  <w:rStyle w:val="a9"/>
                  <w:rFonts w:hint="eastAsia"/>
                  <w:szCs w:val="21"/>
                </w:rPr>
                <w:t>海硕新城</w:t>
              </w:r>
              <w:r w:rsidRPr="00B063F6">
                <w:rPr>
                  <w:rStyle w:val="a9"/>
                  <w:rFonts w:hint="eastAsia"/>
                  <w:szCs w:val="21"/>
                </w:rPr>
                <w:t>2#.dwg</w:t>
              </w:r>
            </w:hyperlink>
          </w:p>
        </w:tc>
      </w:tr>
    </w:tbl>
    <w:p w14:paraId="49B67BF1" w14:textId="77777777" w:rsidR="006E2A76" w:rsidRPr="004806A9" w:rsidRDefault="006E2A76">
      <w:pPr>
        <w:rPr>
          <w:rFonts w:eastAsiaTheme="minorEastAsia"/>
        </w:rPr>
      </w:pPr>
    </w:p>
    <w:sectPr w:rsidR="006E2A76" w:rsidRPr="004806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30E0" w14:textId="77777777" w:rsidR="007D499C" w:rsidRDefault="007D499C" w:rsidP="003548F9">
      <w:r>
        <w:separator/>
      </w:r>
    </w:p>
  </w:endnote>
  <w:endnote w:type="continuationSeparator" w:id="0">
    <w:p w14:paraId="4307E2F0" w14:textId="77777777" w:rsidR="007D499C" w:rsidRDefault="007D499C" w:rsidP="0035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CEB9" w14:textId="77777777" w:rsidR="007D499C" w:rsidRDefault="007D499C" w:rsidP="003548F9">
      <w:r>
        <w:separator/>
      </w:r>
    </w:p>
  </w:footnote>
  <w:footnote w:type="continuationSeparator" w:id="0">
    <w:p w14:paraId="458F66BA" w14:textId="77777777" w:rsidR="007D499C" w:rsidRDefault="007D499C" w:rsidP="0035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4431" w14:textId="77777777" w:rsidR="00053F9D" w:rsidRPr="007E2137" w:rsidRDefault="00053F9D" w:rsidP="007E2137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FC2"/>
    <w:multiLevelType w:val="multilevel"/>
    <w:tmpl w:val="EBB4FEDE"/>
    <w:lvl w:ilvl="0">
      <w:start w:val="3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400E2A77"/>
    <w:multiLevelType w:val="multilevel"/>
    <w:tmpl w:val="314ED52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1E460A"/>
    <w:multiLevelType w:val="multilevel"/>
    <w:tmpl w:val="4D1E460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439943">
    <w:abstractNumId w:val="2"/>
  </w:num>
  <w:num w:numId="2" w16cid:durableId="2100983716">
    <w:abstractNumId w:val="0"/>
  </w:num>
  <w:num w:numId="3" w16cid:durableId="190887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3D"/>
    <w:rsid w:val="00053F9D"/>
    <w:rsid w:val="001948CD"/>
    <w:rsid w:val="001C793D"/>
    <w:rsid w:val="003548F9"/>
    <w:rsid w:val="004806A9"/>
    <w:rsid w:val="006E2A76"/>
    <w:rsid w:val="007D499C"/>
    <w:rsid w:val="007E2137"/>
    <w:rsid w:val="009804C1"/>
    <w:rsid w:val="00A44E7C"/>
    <w:rsid w:val="00B063F6"/>
    <w:rsid w:val="00C70E1E"/>
    <w:rsid w:val="00E41357"/>
    <w:rsid w:val="00F271C7"/>
    <w:rsid w:val="00FA522E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9E0C8"/>
  <w15:chartTrackingRefBased/>
  <w15:docId w15:val="{6B53CB64-F4D0-49C1-AD31-7A6DEE46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3548F9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8F9"/>
    <w:rPr>
      <w:sz w:val="18"/>
      <w:szCs w:val="18"/>
    </w:rPr>
  </w:style>
  <w:style w:type="character" w:customStyle="1" w:styleId="30">
    <w:name w:val="标题 3 字符"/>
    <w:basedOn w:val="a0"/>
    <w:link w:val="3"/>
    <w:rsid w:val="003548F9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3548F9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3548F9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4806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8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36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&#28023;&#30805;&#26032;&#22478;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2023-02-12T14:22:00Z</dcterms:created>
  <dcterms:modified xsi:type="dcterms:W3CDTF">2023-02-12T14:22:00Z</dcterms:modified>
</cp:coreProperties>
</file>