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装修材料预算清单明细</w:t>
      </w:r>
    </w:p>
    <w:p>
      <w:pPr>
        <w:widowControl/>
        <w:ind w:right="218" w:rightChars="104"/>
        <w:jc w:val="left"/>
        <w:rPr>
          <w:rFonts w:asciiTheme="minorEastAsia" w:hAnsiTheme="minorEastAsia" w:cstheme="minorEastAsia"/>
          <w:color w:val="222222"/>
          <w:kern w:val="0"/>
          <w:szCs w:val="21"/>
          <w:shd w:val="clear" w:color="auto" w:fill="FFFFFF"/>
        </w:rPr>
      </w:pPr>
    </w:p>
    <w:p>
      <w:pPr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fldChar w:fldCharType="begin"/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instrText xml:space="preserve">INCLUDEPICTURE \d "http://www.szwfzs.com/uploadfile/2017/0220/20170220053735140.jpg" \* MERGEFORMATINET </w:instrTex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drawing>
          <wp:inline distT="0" distB="0" distL="114300" distR="114300">
            <wp:extent cx="4286250" cy="22479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fldChar w:fldCharType="end"/>
      </w:r>
    </w:p>
    <w:tbl>
      <w:tblPr>
        <w:tblStyle w:val="6"/>
        <w:tblpPr w:leftFromText="180" w:rightFromText="180" w:vertAnchor="text" w:horzAnchor="page" w:tblpX="1445" w:tblpY="625"/>
        <w:tblOverlap w:val="never"/>
        <w:tblW w:w="9626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"/>
        <w:gridCol w:w="2052"/>
        <w:gridCol w:w="919"/>
        <w:gridCol w:w="680"/>
        <w:gridCol w:w="5556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工程项目名称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1665" w:rightChars="793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材料结构及制造 安装工艺标准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拆除轻质砖墙（120mm以内）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人工拆除，垃圾装袋，、非保护性拆除，不含连接处修复。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轻质砖封门洞，双面水泥砂浆批荡（240厚）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9公分轻质砖垒砌，水泥砂浆批荡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石膏板隔墙(豪森)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278.5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1、75轻钢龙骨，膨胀螺丝固定；2、12mm双面豪森石膏板隔墙，钉眼刷防锈漆。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12厘钢化玻璃隔墙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12mm钢化玻璃，含磨边、开孔，搬运上楼,人工安装费。磨砂另算25元/㎡。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玻璃隔墙上方封轻钢龙骨石膏板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轻钢龙骨框架，面封豪森石膏板，人工安装费。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暗藏玻璃隔墙木基层框架（截面宽≤240）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大芯板开条框架，光滑收边,面贴裂约带,外墙腻子批底，人工及安装费。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窗帘盒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54.6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木龙骨框架，12mm夹板封面，窗帘盒制作，高度120mm以内。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地面铺贴仿大理石抛釉砖600*600（高）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长安/萨米特/东鹏大唐600*600优等品抛釉砖,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地面铺贴门槛石(宽≤300，含主材)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1、含石材，暂定每平方米300元；2、国标32.5R普通硅酸盐水泥、河砂 ；3、水泥砂浆铺贴，白水泥勾缝。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不锈钢踢脚线(H=60)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1、9mm夹板打底；2、面贴304#1.0不锈钢踢脚线，辅材及人工安装。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石膏板造型天花吊顶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1、50系列龙骨,8mm镀锌吊杆，膨胀螺栓固定；2、9mm厚纸面石膏板罩面，自攻螺丝钉固定；3、钉眼点涂防锈漆，板接缝处用石膏粉填补、牛皮纸粘贴防裂处理。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天花条形软膜天花(宽300以内)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成品定制,PVC线条收边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天棚批腻子刷乳胶漆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198.4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1、德邦腻子粉批荡，打磨平整；2、含多乐士美时丽/立邦时时丽乳胶漆，牛皮纸补缝；3、刷涂二遍，一底一面,打磨；4、有颜色调色乳胶漆另加3元/m?。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墙面批灰刷乳胶漆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1、德邦腻子粉批荡，打磨平整；2、含多乐士美时丽/立邦时时丽乳胶漆，牛皮纸补缝；3、刷涂二遍，一底一面,打磨；4、有颜色调色乳胶漆另加3元/m?。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直形前台制作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15厘板及夹板打底造型，内面贴防火板。参见施工图（不含台面大理石）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大理石前台台面（宽600以内）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人造大理石，切割，磨边，大理石胶粘贴及人工。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背景墙制作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以设计图纸为准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12mm钢化玻璃门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1、12mm钢化玻璃，含磨边、开孔、打玻璃胶；不含门拉手、地弹簧和门夹锁；玻璃磨砂另加25元每平方。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玻璃自动感应门配件(国产)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百事达、泰牧自动门电机、导轨及其他配件。槽钢焊接吊梁,安装,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不锈钢包大门套（截面宽300以内）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1、15厘大芯板框打底,304不锈钢包框，展开宽度为300mm以内。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烤漆水晶字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厂家定制，人工安装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地面水泥砂浆找平(H≤50）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431.4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1、国标32.5R普通硅酸盐水泥、河砂，1:3水泥沙浆找平；2、平均厚度≤50mm,超出另计。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地面铺复合地板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431.4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复合地板，防潮珍珠棉,铝合金收口条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不锈钢地脚线（H:60)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179.1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9厘夹板打底，不锈钢封面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天花U形木塑条形方通格栅吊顶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1、2.5*70mm木塑方通,间距100-150mm,2、8mm镀锌吊杆，专用卡扣式龙骨,膨胀螺栓固定；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原顶天花喷漆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原结构天花清理铁钉及螺丝,清理水梁柱边缘,直接喷深色乳胶漆二遍。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天花金属龙骨600*600石膏板吊顶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112.2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1、吊线，南辉/茂超600*600mm高强石膏板,凹槽烤漆龙骨；2、安装人工费及其他辅材；3、吊顶完成面到楼板底小于或等于1.2m。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地弹簧(国产品牌，轻型)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百事达地弹簧，双段减速闭合。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玻璃门拉手（600~800）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不锈钢拉手（长600~800）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玻璃门不锈钢七字夹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百事达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成品模压木门扇及门套 中档（800*2000）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樘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800*2000居得美免漆成品木门，含门套安装。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木门小五金组合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百事达、固睿安。铝合金或不锈钢执手锁/合页/门吸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石膏板天花吊顶（平面）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28.6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1、50系列龙骨,8mm镀锌吊杆，膨胀螺栓固定；2、9mm厚纸面石膏板罩面，自攻螺丝钉固定；3、钉眼点涂防锈漆，板接缝处用石膏粉填补、牛皮纸粘贴防裂处理。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天花软膜天花(宽300以内)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成品定制,PVC线条收边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暗藏门制作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15厘夹板开条做龙骨，双面封5厘板，3厘饰面板封面，实木线条收边，刷清漆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石膏板局部六边形造型天花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1、50系列龙骨,8mm镀锌吊杆，膨胀螺栓固定；2、9mm厚纸面石膏板罩面，自攻螺丝钉固定；3、钉眼点涂防锈漆，板接缝处用石膏粉填补、牛皮纸粘贴防裂处理。含乳胶漆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成品烤漆厨柜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厂家定制，人工安装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厨柜人造石台面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厂家定制，人工安装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成品免漆板吊柜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厂家定制，人工安装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强电铺设安装铺设(办公室)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2.5MM2和4.0MM2电线,，PVC线管及配件。 不含配电箱及电缆线。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弱电线路铺设（超五类）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超五类网线,四芯电话线,PVC线管及配件。不含模块面板及机房内网络设备及桥架。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分区小型配电箱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致业豪华明装电箱，铁底PVC透明面盖，DELEX/总制及空开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10A大板开关-单联单控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TCL美奴/品上A系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10A大板开关-双联单控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TCL美奴/品上A系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10A大板开关-三联单控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TCL美奴/品上A系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10A五孔插座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TCL美奴/品上A系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4寸筒灯(东南)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东南PT213,145MM/125MM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单头小豆胆射灯(东南)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东南,含品上变压器/卤素光源,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明装单头射灯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东南,含品上变压器/卤素光源,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双支铝合金吊线灯100mm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威朗仕wls8807-2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T5灯带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m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品上照明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垃圾搬运费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施工现场清理,装袋,运输至管理处指定地点堆放，有电梯。在无电梯情况下2楼以上每层按建筑面积增加2元/平米（不含垃圾外运）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垃圾外运费(3T车)(甲方直接交钱给物业，乙方未包含）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车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人工装车,3T车型，垃圾运出场外。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材料搬运费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施工材料搬运至施工现场,有电梯。在无电梯情况下，2楼以上每层按建筑面积增加2元/平米，不含甲方自购材料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成品保护费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1.对已施工完的成品（地砖、地毯、地胶装饰柜类等重要部份）进行保护，采用文丰专用保护材料。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文明施工费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施工现场文明标语，施工牌，临时电箱等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A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工程款合计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#REF!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B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工程管理费A*3%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#REF!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合计(未含税）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#REF!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Cs w:val="21"/>
              </w:rPr>
              <w:t>说明：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此报价仅供甲方参考或做为签定施工合同的参考依据。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以上报价中主材由乙方提供样板，经甲方确认后使用，如果甲方无法确认价格以内的样板，须超出报价价格另议或甲方自购。如报价中主材由甲方指定，价格另议或甲方自购。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3</w:t>
            </w: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此报价不包含装修过程中所产生水电费用、绿化、办公家私、文件柜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此报价不包含（空调改造等）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此报价不含管理处所收其他任何费用，如有其他收费，敬请甲方承担。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6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Theme="minorEastAsia" w:hAnsiTheme="minorEastAsia" w:cstheme="minorEastAsia"/>
          <w:b/>
          <w:bCs/>
          <w:szCs w:val="21"/>
        </w:rPr>
      </w:pPr>
    </w:p>
    <w:p>
      <w:pPr>
        <w:widowControl/>
        <w:ind w:right="218" w:rightChars="104" w:firstLine="420"/>
        <w:jc w:val="left"/>
        <w:rPr>
          <w:rFonts w:asciiTheme="minorEastAsia" w:hAnsiTheme="minorEastAsia" w:cstheme="minorEastAsia"/>
          <w:color w:val="222222"/>
          <w:kern w:val="0"/>
          <w:szCs w:val="21"/>
          <w:shd w:val="clear" w:color="auto" w:fill="FFFFFF"/>
        </w:rPr>
      </w:pPr>
    </w:p>
    <w:p>
      <w:pPr>
        <w:widowControl/>
        <w:rPr>
          <w:rFonts w:asciiTheme="minorEastAsia" w:hAnsiTheme="minorEastAsia" w:cstheme="minorEastAsia"/>
          <w:color w:val="303030"/>
          <w:kern w:val="0"/>
          <w:szCs w:val="21"/>
        </w:rPr>
      </w:pPr>
    </w:p>
    <w:p>
      <w:pP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  </w:t>
      </w:r>
    </w:p>
    <w:p>
      <w:pP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</w:pPr>
      <w: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  <w:drawing>
          <wp:inline distT="0" distB="0" distL="0" distR="0">
            <wp:extent cx="4761865" cy="1805305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FFFFFF" w:themeColor="background1"/>
          <w:spacing w:val="23"/>
          <w:sz w:val="10"/>
          <w:szCs w:val="10"/>
          <w:shd w:val="clear" w:color="auto" w:fill="FFFFFF"/>
        </w:rPr>
      </w:pP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岁月如轮，也许还没有做好准备，就碾碎了绚烂多姿的梦想；流年似水，也许只是一个转身，就冲淡了深情相依的誓言。生活不相信眼泪，只有坚强，才能把自己从痛苦的深渊中拔出来。要始终坚信，山重水复之后，总会呈现一派柳暗花明。</w:t>
      </w: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　　女人，要学会宽容。“金无足赤，人无完人”,谁都不可能十全十美，每个人都是被上帝咬过一口的苹果。所以，不能只盯着这个丑陋的缺口，要嗅到苹果的清香。</w:t>
      </w: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　　包容他人缺点，宽容他人错误，给他解释和改正的机会。自然，宽容不是没有底线的纵容，如果他把宽容视为懦弱，肆意践踏，就可以紧闭门扉，将之拒绝在宽容的门外。</w:t>
      </w: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　　女人，要懂得爱自己。工作重要，但不要为了争名夺利，身心俱疲；家人重要，但不要为了家人，失去自我。懂得做一只精瓷小碗，让人珍惜惹人疼；不要做一只粗瓷大碗，所有的粗活重活都抢着干。</w:t>
      </w: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　　不懂得爱自己的女人往往最可怜，倾其所有，最后却一无所有。张爱玲说：越是不爱自己，越是没人爱你。确实，如果连自己都不懂得爱自己，还怎么奢望别人爱你？</w:t>
      </w:r>
    </w:p>
    <w:p>
      <w:pPr>
        <w:widowControl/>
        <w:shd w:val="clear" w:color="auto" w:fill="FFFFFF"/>
        <w:spacing w:after="337"/>
        <w:jc w:val="left"/>
        <w:rPr>
          <w:rFonts w:hint="eastAsia" w:ascii="微软雅黑" w:hAnsi="微软雅黑" w:eastAsia="宋体" w:cs="宋体"/>
          <w:color w:val="FFFFFF" w:themeColor="background1"/>
          <w:kern w:val="0"/>
          <w:sz w:val="10"/>
          <w:szCs w:val="10"/>
        </w:rPr>
      </w:pPr>
      <w:r>
        <w:rPr>
          <w:rFonts w:ascii="微软雅黑" w:hAnsi="微软雅黑" w:eastAsia="宋体" w:cs="宋体"/>
          <w:color w:val="FFFFFF" w:themeColor="background1"/>
          <w:kern w:val="0"/>
          <w:sz w:val="10"/>
          <w:szCs w:val="10"/>
        </w:rPr>
        <w:t>　　女人，要有一颗善良的心。张爱玲说：打扮得再美，穿得再昂贵，那只是个幌子，用善良做的外衣才是真的美。</w:t>
      </w:r>
    </w:p>
    <w:p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  <w:szCs w:val="10"/>
        </w:rPr>
        <w:drawing>
          <wp:inline distT="0" distB="0" distL="0" distR="0">
            <wp:extent cx="5130165" cy="154368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  <w:szCs w:val="10"/>
        </w:rPr>
        <w:drawing>
          <wp:inline distT="0" distB="0" distL="0" distR="0">
            <wp:extent cx="4334510" cy="795655"/>
            <wp:effectExtent l="19050" t="0" r="889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  <w:szCs w:val="10"/>
        </w:rPr>
        <w:drawing>
          <wp:inline distT="0" distB="0" distL="0" distR="0">
            <wp:extent cx="4975860" cy="222059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</w:p>
    <w:p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  <w:szCs w:val="10"/>
        </w:rPr>
        <w:drawing>
          <wp:inline distT="0" distB="0" distL="0" distR="0">
            <wp:extent cx="4429760" cy="2042795"/>
            <wp:effectExtent l="1905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0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rPr>
          <w:rFonts w:asciiTheme="minorEastAsia" w:hAnsiTheme="minorEastAsia" w:cstheme="minorEastAsia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4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atLeast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U3ZDRlZTE3YTMxZGRmOGU1ZmNhYWRmZTZhMjEifQ=="/>
  </w:docVars>
  <w:rsids>
    <w:rsidRoot w:val="2C2909E1"/>
    <w:rsid w:val="00165320"/>
    <w:rsid w:val="00A11578"/>
    <w:rsid w:val="02547801"/>
    <w:rsid w:val="088B5201"/>
    <w:rsid w:val="0DAE150B"/>
    <w:rsid w:val="0ECF2C4D"/>
    <w:rsid w:val="11CE35B2"/>
    <w:rsid w:val="1380116B"/>
    <w:rsid w:val="17891511"/>
    <w:rsid w:val="1EBC0185"/>
    <w:rsid w:val="23296C48"/>
    <w:rsid w:val="2AB41BDD"/>
    <w:rsid w:val="2C2909E1"/>
    <w:rsid w:val="2D4A5C62"/>
    <w:rsid w:val="2EED69CE"/>
    <w:rsid w:val="2F181C5B"/>
    <w:rsid w:val="3155154B"/>
    <w:rsid w:val="37C26C08"/>
    <w:rsid w:val="42D0064D"/>
    <w:rsid w:val="475565D0"/>
    <w:rsid w:val="48125F11"/>
    <w:rsid w:val="4BFC0FB3"/>
    <w:rsid w:val="578D08D2"/>
    <w:rsid w:val="74C32F62"/>
    <w:rsid w:val="79A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2901</Words>
  <Characters>3281</Characters>
  <Lines>28</Lines>
  <Paragraphs>8</Paragraphs>
  <TotalTime>4</TotalTime>
  <ScaleCrop>false</ScaleCrop>
  <LinksUpToDate>false</LinksUpToDate>
  <CharactersWithSpaces>3343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2019-03-10T13:44:00Z</dcterms:created>
  <dc:creator>YY</dc:creator>
  <cp:lastModifiedBy> SJna_</cp:lastModifiedBy>
  <dcterms:modified xsi:type="dcterms:W3CDTF">2023-02-22T11:37:42Z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66F4D7FBEEBF4DB0ACE70B298520B628</vt:lpwstr>
  </property>
</Properties>
</file>