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ore.xml" ContentType="application/vnd.openxmlformats-package.core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44002d1fd04824" /><Relationship Type="http://schemas.openxmlformats.org/package/2006/relationships/metadata/core-properties" Target="/docProps/core.xml" Id="R90822913d79d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15" w:bottom="1440" w:left="1415" w:header="708" w:footer="708" w:gutter="0"/>
      <w:cols w:space="708"/>
      <w:docGrid w:linePitch="360"/>
    </w:sectPr>
    <w:tbl>
      <w:tblPr>
        <w:tblStyle w:val="TableGrid"/>
        <w:tblW w:w="9225.79963684082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386.6999816894531"/>
        <w:gridCol w:w="1301.7999267578125"/>
        <w:gridCol w:w="1358.3999633789063"/>
        <w:gridCol w:w="1443.2998657226563"/>
        <w:gridCol w:w="1245.1999664306641"/>
        <w:gridCol w:w="1245.1999664306641"/>
        <w:gridCol w:w="1245.1999664306641"/>
      </w:tblGrid>
      <w:tr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房间类型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采光类型</w:t>
            </w:r>
          </w:p>
        </w:tc>
        <w:tc>
          <w:tcPr>
            <w:vAlign w:val="center"/>
            <w:shd w:val="clear" w:color="auto" w:fill="E6E6E6"/>
            <w:gridSpan w:val="2"/>
          </w:tcPr>
          <w:p>
            <w:pPr>
              <w:jc w:val="center"/>
            </w:pPr>
            <w:r>
              <w:t>标准值</w:t>
            </w:r>
          </w:p>
        </w:tc>
        <w:tc>
          <w:tcPr>
            <w:vAlign w:val="center"/>
            <w:shd w:val="clear" w:color="auto" w:fill="E6E6E6"/>
            <w:gridSpan w:val="2"/>
          </w:tcPr>
          <w:p>
            <w:pPr>
              <w:jc w:val="center"/>
            </w:pPr>
            <w:r>
              <w:t>面积(m2)</w:t>
            </w:r>
          </w:p>
        </w:tc>
        <w:tc>
          <w:tcPr>
            <w:vAlign w:val="center"/>
            <w:shd w:val="clear" w:color="auto" w:fill="E6E6E6"/>
            <w:vMerge w:val="restart"/>
          </w:tcPr>
          <w:p>
            <w:pPr>
              <w:jc w:val="center"/>
            </w:pPr>
            <w:r>
              <w:t>达标率</w:t>
            </w:r>
            <w:r>
              <w:br/>
            </w:r>
            <w:r>
              <w:t>(%)</w:t>
            </w:r>
          </w:p>
        </w:tc>
      </w:tr>
      <w:tr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平均采光</w:t>
            </w:r>
            <w:r>
              <w:br/>
            </w:r>
            <w:r>
              <w:t>系数(%)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室内天然光</w:t>
            </w:r>
            <w:r>
              <w:br/>
            </w:r>
            <w:r>
              <w:t>设计照度(Lx)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总面积</w:t>
            </w:r>
          </w:p>
        </w:tc>
        <w:tc>
          <w:tcPr>
            <w:vAlign w:val="center"/>
            <w:shd w:val="clear" w:color="auto" w:fill="E6E6E6"/>
          </w:tcPr>
          <w:p>
            <w:pPr>
              <w:jc w:val="center"/>
            </w:pPr>
            <w:r>
              <w:t>达标面积</w:t>
            </w:r>
          </w:p>
        </w:tc>
        <w:tc>
          <w:tcPr>
            <w:vAlign w:val="center"/>
            <w:shd w:val="clear" w:color="auto" w:fill="E6E6E6"/>
            <w:vMerge/>
          </w:tcPr>
          <w:p>
            <w:pPr>
              <w:jc w:val="center"/>
            </w:pPr>
          </w:p>
        </w:tc>
      </w:tr>
      <w:tr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混合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1388.55</w:t>
            </w:r>
          </w:p>
        </w:tc>
        <w:tc>
          <w:tcPr>
            <w:vAlign w:val="center"/>
          </w:tcPr>
          <w:p>
            <w:pPr/>
            <w:r>
              <w:t>1365.05</w:t>
            </w:r>
          </w:p>
        </w:tc>
        <w:tc>
          <w:tcPr>
            <w:vAlign w:val="center"/>
          </w:tcPr>
          <w:p>
            <w:pPr/>
            <w:r>
              <w:t>98</w:t>
            </w:r>
          </w:p>
        </w:tc>
      </w:tr>
      <w:tr>
        <w:tc>
          <w:tcPr>
            <w:vAlign w:val="center"/>
          </w:tcPr>
          <w:p>
            <w:pPr/>
            <w:r>
              <w:t>报告厅</w:t>
            </w:r>
          </w:p>
        </w:tc>
        <w:tc>
          <w:tcPr>
            <w:vAlign w:val="center"/>
          </w:tcPr>
          <w:p>
            <w:pPr/>
            <w:r>
              <w:t>混合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313.24</w:t>
            </w:r>
          </w:p>
        </w:tc>
        <w:tc>
          <w:tcPr>
            <w:vAlign w:val="center"/>
          </w:tcPr>
          <w:p>
            <w:pPr/>
            <w:r>
              <w:t>134.53</w:t>
            </w:r>
          </w:p>
        </w:tc>
        <w:tc>
          <w:tcPr>
            <w:vAlign w:val="center"/>
          </w:tcPr>
          <w:p>
            <w:pPr/>
            <w:r>
              <w:t>43</w:t>
            </w:r>
          </w:p>
        </w:tc>
      </w:tr>
      <w:tr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顶部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300</w:t>
            </w:r>
          </w:p>
        </w:tc>
        <w:tc>
          <w:tcPr>
            <w:vAlign w:val="center"/>
          </w:tcPr>
          <w:p>
            <w:pPr/>
            <w:r>
              <w:t>150.78</w:t>
            </w:r>
          </w:p>
        </w:tc>
        <w:tc>
          <w:tcPr>
            <w:vAlign w:val="center"/>
          </w:tcPr>
          <w:p>
            <w:pPr/>
            <w:r>
              <w:t>77.92</w:t>
            </w:r>
          </w:p>
        </w:tc>
        <w:tc>
          <w:tcPr>
            <w:vAlign w:val="center"/>
          </w:tcPr>
          <w:p>
            <w:pPr/>
            <w:r>
              <w:t>52</w:t>
            </w:r>
          </w:p>
        </w:tc>
      </w:tr>
      <w:tr>
        <w:tc>
          <w:tcPr>
            <w:vAlign w:val="center"/>
          </w:tcPr>
          <w:p>
            <w:pPr/>
            <w:r>
              <w:t>阅览室</w:t>
            </w:r>
          </w:p>
        </w:tc>
        <w:tc>
          <w:tcPr>
            <w:vAlign w:val="center"/>
          </w:tcPr>
          <w:p>
            <w:pPr/>
            <w:r>
              <w:t>侧面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450</w:t>
            </w:r>
          </w:p>
        </w:tc>
        <w:tc>
          <w:tcPr>
            <w:vAlign w:val="center"/>
          </w:tcPr>
          <w:p>
            <w:pPr/>
            <w:r>
              <w:t>24.30</w:t>
            </w:r>
          </w:p>
        </w:tc>
        <w:tc>
          <w:tcPr>
            <w:vAlign w:val="center"/>
          </w:tcPr>
          <w:p>
            <w:pPr/>
            <w:r>
              <w:t>24.30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办公室</w:t>
            </w:r>
          </w:p>
        </w:tc>
        <w:tc>
          <w:tcPr>
            <w:vAlign w:val="center"/>
          </w:tcPr>
          <w:p>
            <w:pPr/>
            <w:r>
              <w:t>顶部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53.20</w:t>
            </w:r>
          </w:p>
        </w:tc>
        <w:tc>
          <w:tcPr>
            <w:vAlign w:val="center"/>
          </w:tcPr>
          <w:p>
            <w:pPr/>
            <w:r>
              <w:t>39.88</w:t>
            </w:r>
          </w:p>
        </w:tc>
        <w:tc>
          <w:tcPr>
            <w:vAlign w:val="center"/>
          </w:tcPr>
          <w:p>
            <w:pPr/>
            <w:r>
              <w:t>75</w:t>
            </w:r>
          </w:p>
        </w:tc>
      </w:tr>
      <w:tr>
        <w:tc>
          <w:tcPr>
            <w:vAlign w:val="center"/>
          </w:tcPr>
          <w:p>
            <w:pPr/>
            <w:r>
              <w:t>办公室</w:t>
            </w:r>
          </w:p>
        </w:tc>
        <w:tc>
          <w:tcPr>
            <w:vAlign w:val="center"/>
          </w:tcPr>
          <w:p>
            <w:pPr/>
            <w:r>
              <w:t>混合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－</w:t>
            </w:r>
          </w:p>
        </w:tc>
        <w:tc>
          <w:tcPr>
            <w:vAlign w:val="center"/>
          </w:tcPr>
          <w:p>
            <w:pPr/>
            <w:r>
              <w:t>19.25</w:t>
            </w:r>
          </w:p>
        </w:tc>
        <w:tc>
          <w:tcPr>
            <w:vAlign w:val="center"/>
          </w:tcPr>
          <w:p>
            <w:pPr/>
            <w:r>
              <w:t>19.25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  <w:gridSpan w:val="4"/>
          </w:tcPr>
          <w:p>
            <w:pPr/>
            <w:r>
              <w:t>总计达标面积比例(%)</w:t>
            </w:r>
          </w:p>
        </w:tc>
        <w:tc>
          <w:tcPr>
            <w:vAlign w:val="center"/>
            <w:gridSpan w:val="3"/>
          </w:tcPr>
          <w:p>
            <w:pPr/>
            <w:r>
              <w:t>85</w:t>
            </w:r>
          </w:p>
        </w:tc>
      </w:tr>
    </w:tbl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zh-C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fe4e96a2194b1d" /><Relationship Type="http://schemas.openxmlformats.org/officeDocument/2006/relationships/numbering" Target="/word/numbering.xml" Id="Rea07eb79550d42ee" /><Relationship Type="http://schemas.openxmlformats.org/officeDocument/2006/relationships/settings" Target="/word/settings.xml" Id="R0e0dd2f556a94292" /></Relationship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ybx</dc:creator>
  <cp:lastModifiedBy>ybx</cp:lastModifiedBy>
  <cp:revision>1</cp:revision>
  <dc:title>达标率</dc:title>
</cp:coreProperties>
</file>