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eastAsia"/>
          <w:sz w:val="28"/>
          <w:szCs w:val="28"/>
          <w:lang w:val="en-US" w:eastAsia="zh-CN"/>
        </w:rPr>
        <w:t>稚此青绿幼儿园建筑设计</w:t>
      </w:r>
      <w:r>
        <w:rPr>
          <w:sz w:val="28"/>
          <w:szCs w:val="28"/>
        </w:rPr>
        <w:t>项目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38"/>
          <w:szCs w:val="38"/>
        </w:rPr>
        <w:t>雨水控制利用专项规划设计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hint="eastAsia"/>
          <w:sz w:val="24"/>
          <w:szCs w:val="24"/>
          <w:lang w:val="en-US" w:eastAsia="zh-CN"/>
        </w:rPr>
        <w:t>2023</w:t>
      </w:r>
      <w:r>
        <w:rPr>
          <w:sz w:val="24"/>
          <w:szCs w:val="24"/>
        </w:rPr>
        <w:t xml:space="preserve">年 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月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24"/>
          <w:szCs w:val="24"/>
        </w:rPr>
        <w:t>1.项目概况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500" w:line="16" w:lineRule="atLeast"/>
        <w:ind w:left="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0"/>
          <w:sz w:val="19"/>
          <w:szCs w:val="19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19"/>
          <w:szCs w:val="19"/>
          <w:lang w:val="en-US" w:eastAsia="zh-CN" w:bidi="ar"/>
        </w:rPr>
        <w:t>本工程为常州稚此青绿幼儿园。总建筑面积4500M2.层数为2 层.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500" w:line="16" w:lineRule="atLeast"/>
        <w:ind w:left="0" w:leftChars="0" w:firstLine="0" w:firstLineChars="0"/>
        <w:textAlignment w:val="auto"/>
        <w:rPr>
          <w:rFonts w:hint="default" w:asciiTheme="minorHAnsi" w:hAnsiTheme="minorHAnsi" w:eastAsiaTheme="minorEastAsia" w:cstheme="minorBidi"/>
          <w:kern w:val="0"/>
          <w:sz w:val="19"/>
          <w:szCs w:val="19"/>
          <w:lang w:val="en-US" w:eastAsia="zh-CN" w:bidi="ar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drawing>
          <wp:inline distT="0" distB="0" distL="114300" distR="114300">
            <wp:extent cx="5729605" cy="3538855"/>
            <wp:effectExtent l="0" t="0" r="635" b="12065"/>
            <wp:docPr id="23" name="图片 23" descr="微信截图_2023021114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截图_202302111409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asciiTheme="minorHAnsi" w:hAnsiTheme="minorHAnsi" w:eastAsiaTheme="minorEastAsia" w:cstheme="minorBidi"/>
          <w:kern w:val="0"/>
          <w:sz w:val="19"/>
          <w:szCs w:val="19"/>
          <w:lang w:val="en-US" w:eastAsia="zh-CN" w:bidi="ar"/>
        </w:rPr>
      </w:pPr>
      <w:r>
        <w:rPr>
          <w:rFonts w:asciiTheme="minorHAnsi" w:hAnsiTheme="minorHAnsi" w:eastAsiaTheme="minorEastAsia" w:cstheme="minorBidi"/>
          <w:kern w:val="0"/>
          <w:sz w:val="19"/>
          <w:szCs w:val="19"/>
          <w:lang w:val="en-US" w:eastAsia="zh-CN" w:bidi="ar"/>
        </w:rPr>
        <w:t>图1.1 项目效果图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24"/>
          <w:szCs w:val="24"/>
        </w:rPr>
        <w:t>2.评价方法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《绿色建筑评价标准》GB/T 50378-2019条款8.1.4条：场地的竖向设计应有利于雨水的收集或排放，应有效组织雨水的下渗、滞蓄或再利用；对大于10hm2的场地应进行雨水控制利用专项设计。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第8.2.2条：规划场地地表和屋面雨水径流，对场地雨水实施外排总量控制，评价总分值为10分。场地年径流总量控制率达到55%，得5分；达到70%，得10分。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5"/>
          <w:szCs w:val="25"/>
        </w:rPr>
        <w:t>3.雨水专项规划设计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3.1雨水利用措施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本项目</w:t>
      </w:r>
      <w:r>
        <w:rPr>
          <w:color w:val="BFBFBF"/>
          <w:sz w:val="19"/>
          <w:szCs w:val="19"/>
        </w:rPr>
        <w:t xml:space="preserve">雨水、污水分流排放 </w:t>
      </w:r>
      <w:r>
        <w:rPr>
          <w:sz w:val="19"/>
          <w:szCs w:val="19"/>
        </w:rPr>
        <w:t>屋面雨水采用</w:t>
      </w:r>
      <w:r>
        <w:rPr>
          <w:color w:val="BFBFBF"/>
          <w:sz w:val="19"/>
          <w:szCs w:val="19"/>
        </w:rPr>
        <w:t>外排水形式</w:t>
      </w:r>
      <w:r>
        <w:rPr>
          <w:sz w:val="19"/>
          <w:szCs w:val="19"/>
        </w:rPr>
        <w:t>，采用</w:t>
      </w:r>
      <w:r>
        <w:rPr>
          <w:color w:val="BFBFBF"/>
          <w:sz w:val="19"/>
          <w:szCs w:val="19"/>
        </w:rPr>
        <w:t>透水路面（砖）</w:t>
      </w:r>
      <w:r>
        <w:rPr>
          <w:sz w:val="19"/>
          <w:szCs w:val="19"/>
        </w:rPr>
        <w:t>，公共绿地设为</w:t>
      </w:r>
      <w:r>
        <w:rPr>
          <w:color w:val="BFBFBF"/>
          <w:sz w:val="19"/>
          <w:szCs w:val="19"/>
        </w:rPr>
        <w:t>下凹绿地</w:t>
      </w:r>
      <w:r>
        <w:rPr>
          <w:sz w:val="19"/>
          <w:szCs w:val="19"/>
        </w:rPr>
        <w:t>，</w:t>
      </w:r>
      <w:r>
        <w:rPr>
          <w:color w:val="BFBFBF"/>
          <w:sz w:val="19"/>
          <w:szCs w:val="19"/>
        </w:rPr>
        <w:t>雨水调蓄容积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1"/>
          <w:szCs w:val="21"/>
        </w:rPr>
        <w:t>3.2建设后场地外排雨水流量径流系数计算过程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根据《室外排水设计规范》（GB50014-2011），</w:t>
      </w:r>
      <w:r>
        <w:rPr>
          <w:color w:val="BFBFBF"/>
          <w:sz w:val="19"/>
          <w:szCs w:val="19"/>
        </w:rPr>
        <w:t>北京地区</w:t>
      </w:r>
      <w:r>
        <w:rPr>
          <w:sz w:val="19"/>
          <w:szCs w:val="19"/>
        </w:rPr>
        <w:t>综合径流系数为</w:t>
      </w:r>
      <w:r>
        <w:rPr>
          <w:color w:val="BFBFBF"/>
          <w:sz w:val="19"/>
          <w:szCs w:val="19"/>
        </w:rPr>
        <w:t>0.5~0.7</w:t>
      </w:r>
      <w:r>
        <w:rPr>
          <w:sz w:val="19"/>
          <w:szCs w:val="19"/>
        </w:rPr>
        <w:t>，所以该地块建设前综合径流系数取</w:t>
      </w:r>
      <w:r>
        <w:rPr>
          <w:color w:val="BFBFBF"/>
          <w:sz w:val="19"/>
          <w:szCs w:val="19"/>
        </w:rPr>
        <w:t>0.5</w:t>
      </w:r>
      <w:r>
        <w:rPr>
          <w:sz w:val="19"/>
          <w:szCs w:val="19"/>
        </w:rPr>
        <w:t>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建设前，本地块没有控制与综合利用设施，因此外排雨水总量等于总径流量，总径流量：</w:t>
      </w:r>
      <w:r>
        <w:rPr>
          <w:sz w:val="19"/>
          <w:szCs w:val="19"/>
        </w:rPr>
        <w:drawing>
          <wp:inline distT="0" distB="0" distL="114300" distR="114300">
            <wp:extent cx="847725" cy="228600"/>
            <wp:effectExtent l="0" t="0" r="5715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，单位m</w:t>
      </w:r>
      <w:r>
        <w:rPr>
          <w:sz w:val="19"/>
          <w:szCs w:val="19"/>
          <w:vertAlign w:val="superscript"/>
        </w:rPr>
        <w:t>3</w:t>
      </w:r>
      <w:r>
        <w:rPr>
          <w:sz w:val="19"/>
          <w:szCs w:val="19"/>
        </w:rPr>
        <w:t>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190500" cy="209550"/>
            <wp:effectExtent l="0" t="0" r="7620" b="3810"/>
            <wp:docPr id="2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：综合雨量径流系数；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152400" cy="228600"/>
            <wp:effectExtent l="0" t="0" r="0" b="0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：3年重现期最大24小时降雨厚度（mm），</w:t>
      </w:r>
      <w:r>
        <w:rPr>
          <w:color w:val="BFBFBF"/>
          <w:sz w:val="19"/>
          <w:szCs w:val="19"/>
        </w:rPr>
        <w:t>北京市取108mm</w:t>
      </w:r>
      <w:r>
        <w:rPr>
          <w:sz w:val="19"/>
          <w:szCs w:val="19"/>
        </w:rPr>
        <w:t>；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161925" cy="161925"/>
            <wp:effectExtent l="0" t="0" r="5715" b="5715"/>
            <wp:docPr id="2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：汇水面积（hm</w:t>
      </w:r>
      <w:r>
        <w:rPr>
          <w:sz w:val="19"/>
          <w:szCs w:val="19"/>
          <w:vertAlign w:val="superscript"/>
        </w:rPr>
        <w:t>3</w:t>
      </w:r>
      <w:r>
        <w:rPr>
          <w:sz w:val="19"/>
          <w:szCs w:val="19"/>
        </w:rPr>
        <w:t>）。</w:t>
      </w:r>
    </w:p>
    <w:tbl>
      <w:tblPr>
        <w:tblW w:w="0" w:type="auto"/>
        <w:tblCellSpacing w:w="15" w:type="dxa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64"/>
        <w:gridCol w:w="1711"/>
        <w:gridCol w:w="3334"/>
        <w:gridCol w:w="13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CellSpacing w:w="15" w:type="dxa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建设用地面积（</w:t>
            </w:r>
            <w:r>
              <w:rPr>
                <w:sz w:val="19"/>
                <w:szCs w:val="19"/>
                <w:shd w:val="clear" w:fill="FFFFFF"/>
              </w:rPr>
              <w:drawing>
                <wp:inline distT="0" distB="0" distL="114300" distR="114300">
                  <wp:extent cx="257175" cy="200025"/>
                  <wp:effectExtent l="0" t="0" r="1905" b="0"/>
                  <wp:docPr id="11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19"/>
                <w:szCs w:val="19"/>
                <w:shd w:val="clear" w:fill="FFFFFF"/>
              </w:rPr>
              <w:t>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建设前综合径流系数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3年重现期最大24小时降雨厚度（mm）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建设前外排总量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（</w:t>
            </w:r>
            <w:r>
              <w:rPr>
                <w:sz w:val="19"/>
                <w:szCs w:val="19"/>
                <w:shd w:val="clear" w:fill="FFFFFF"/>
              </w:rPr>
              <w:drawing>
                <wp:inline distT="0" distB="0" distL="114300" distR="114300">
                  <wp:extent cx="257175" cy="200025"/>
                  <wp:effectExtent l="0" t="0" r="1905" b="0"/>
                  <wp:docPr id="5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19"/>
                <w:szCs w:val="19"/>
                <w:shd w:val="clear" w:fill="FFFFFF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表3.1 面积指标核算表</w:t>
      </w:r>
    </w:p>
    <w:tbl>
      <w:tblPr>
        <w:tblW w:w="0" w:type="auto"/>
        <w:tblCellSpacing w:w="15" w:type="dxa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1"/>
        <w:gridCol w:w="4704"/>
        <w:gridCol w:w="1089"/>
        <w:gridCol w:w="20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类别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数值（m2）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用地面积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建筑占地面积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绿化面积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Merge w:val="restart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其中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实土绿地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已按100%计入绿地面积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Merge w:val="continue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覆土绿地（覆土大于3M）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已按100%计入绿地面积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Merge w:val="continue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覆土绿地（覆土大于1.5M，小于3M）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已按50%计入绿地面积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vMerge w:val="continue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覆土绿地（覆土大于1.5M，小于3M，未接实土）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已按20%计入绿地面积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道路及广场面积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机动车道面积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公共停车场、人行道、休闲广场、室外庭院硬质铺装地面面积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下凹式绿地面积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gridSpan w:val="2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透水铺装面积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则，根据上表可知，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1）下凹式绿地占绿地面积的比例为 %；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2）公共停车场、人行道、步行街、自行车道和休闲广场、室外庭院的透水铺装率为 %。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不同类型下垫面的径流系数应根据实测数据确定，缺少资料时可参考《雨水控制与利用工程设计规范》DB11/685-2013的表3.1.4。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5267325" cy="3705225"/>
            <wp:effectExtent l="0" t="0" r="5715" b="1333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本项目各种下垫面的雨量径流系数取值见下表：</w:t>
      </w:r>
    </w:p>
    <w:tbl>
      <w:tblPr>
        <w:tblW w:w="0" w:type="auto"/>
        <w:tblCellSpacing w:w="15" w:type="dxa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25"/>
        <w:gridCol w:w="12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下垫面种类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雨量径流系数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绿地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透水铺装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硬屋面、未铺石子的平屋面、沥青屋面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大块石铺砌路面及广场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综合径流系数应按下垫面种类加权平均计算：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695325" cy="390525"/>
            <wp:effectExtent l="0" t="0" r="5715" b="5715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式中：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161925" cy="161925"/>
            <wp:effectExtent l="0" t="0" r="5715" b="5715"/>
            <wp:docPr id="1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——汇水面积，m</w:t>
      </w:r>
      <w:r>
        <w:rPr>
          <w:sz w:val="19"/>
          <w:szCs w:val="19"/>
          <w:vertAlign w:val="superscript"/>
        </w:rPr>
        <w:t>2</w:t>
      </w:r>
      <w:r>
        <w:rPr>
          <w:sz w:val="19"/>
          <w:szCs w:val="19"/>
        </w:rPr>
        <w:t>；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161925" cy="228600"/>
            <wp:effectExtent l="0" t="0" r="5715" b="0"/>
            <wp:docPr id="1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——汇水面上各类下垫面面积，m</w:t>
      </w:r>
      <w:r>
        <w:rPr>
          <w:sz w:val="19"/>
          <w:szCs w:val="19"/>
          <w:vertAlign w:val="superscript"/>
        </w:rPr>
        <w:t>2</w:t>
      </w:r>
      <w:r>
        <w:rPr>
          <w:sz w:val="19"/>
          <w:szCs w:val="19"/>
        </w:rPr>
        <w:t>；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161925" cy="228600"/>
            <wp:effectExtent l="0" t="0" r="5715" b="0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——各类下垫面的径流系数。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本项目场地综合径流系数为：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447675" cy="390525"/>
            <wp:effectExtent l="0" t="0" r="9525" b="5715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建设后外排量及实际外排综合雨量径流系数：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（1）建设后雨水实际外排流量</w:t>
      </w:r>
      <w:r>
        <w:rPr>
          <w:sz w:val="19"/>
          <w:szCs w:val="19"/>
        </w:rPr>
        <w:drawing>
          <wp:inline distT="0" distB="0" distL="114300" distR="114300">
            <wp:extent cx="219075" cy="209550"/>
            <wp:effectExtent l="0" t="0" r="9525" b="3810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=建设后的总径流量—雨水收集蓄水量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（2）建设后的总径流量：</w:t>
      </w:r>
      <w:r>
        <w:rPr>
          <w:sz w:val="19"/>
          <w:szCs w:val="19"/>
        </w:rPr>
        <w:drawing>
          <wp:inline distT="0" distB="0" distL="114300" distR="114300">
            <wp:extent cx="847725" cy="228600"/>
            <wp:effectExtent l="0" t="0" r="5715" b="0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，单位m</w:t>
      </w:r>
      <w:r>
        <w:rPr>
          <w:sz w:val="19"/>
          <w:szCs w:val="19"/>
          <w:vertAlign w:val="superscript"/>
        </w:rPr>
        <w:t>3</w:t>
      </w:r>
      <w:r>
        <w:rPr>
          <w:sz w:val="19"/>
          <w:szCs w:val="19"/>
        </w:rPr>
        <w:t>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（3）建设后实际外排综合雨量径流系数按公式</w:t>
      </w:r>
      <w:r>
        <w:rPr>
          <w:sz w:val="19"/>
          <w:szCs w:val="19"/>
        </w:rPr>
        <w:drawing>
          <wp:inline distT="0" distB="0" distL="114300" distR="114300">
            <wp:extent cx="733425" cy="428625"/>
            <wp:effectExtent l="0" t="0" r="13335" b="13335"/>
            <wp:docPr id="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计算</w:t>
      </w:r>
    </w:p>
    <w:tbl>
      <w:tblPr>
        <w:tblW w:w="0" w:type="auto"/>
        <w:tblCellSpacing w:w="15" w:type="dxa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8"/>
        <w:gridCol w:w="811"/>
        <w:gridCol w:w="1486"/>
        <w:gridCol w:w="1061"/>
        <w:gridCol w:w="1149"/>
        <w:gridCol w:w="868"/>
        <w:gridCol w:w="993"/>
        <w:gridCol w:w="10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建设用地面积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（</w:t>
            </w:r>
            <w:r>
              <w:rPr>
                <w:sz w:val="19"/>
                <w:szCs w:val="19"/>
                <w:shd w:val="clear" w:fill="FFFFFF"/>
              </w:rPr>
              <w:drawing>
                <wp:inline distT="0" distB="0" distL="114300" distR="114300">
                  <wp:extent cx="257175" cy="200025"/>
                  <wp:effectExtent l="0" t="0" r="1905" b="0"/>
                  <wp:docPr id="22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19"/>
                <w:szCs w:val="19"/>
                <w:shd w:val="clear" w:fill="FFFFFF"/>
              </w:rPr>
              <w:t>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建设后综合径流系数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3年重现期最大24小时降雨厚度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（mm）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建设后径流总量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（</w:t>
            </w:r>
            <w:r>
              <w:rPr>
                <w:sz w:val="19"/>
                <w:szCs w:val="19"/>
                <w:shd w:val="clear" w:fill="FFFFFF"/>
              </w:rPr>
              <w:drawing>
                <wp:inline distT="0" distB="0" distL="114300" distR="114300">
                  <wp:extent cx="257175" cy="200025"/>
                  <wp:effectExtent l="0" t="0" r="1905" b="0"/>
                  <wp:docPr id="6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19"/>
                <w:szCs w:val="19"/>
                <w:shd w:val="clear" w:fill="FFFFFF"/>
              </w:rPr>
              <w:t>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下凹绿地蓄水量（m</w:t>
            </w:r>
            <w:r>
              <w:rPr>
                <w:color w:val="000000"/>
                <w:sz w:val="19"/>
                <w:szCs w:val="19"/>
                <w:shd w:val="clear" w:fill="FFFFFF"/>
                <w:vertAlign w:val="superscript"/>
              </w:rPr>
              <w:t>3</w:t>
            </w:r>
            <w:r>
              <w:rPr>
                <w:color w:val="000000"/>
                <w:sz w:val="19"/>
                <w:szCs w:val="19"/>
                <w:shd w:val="clear" w:fill="FFFFFF"/>
              </w:rPr>
              <w:t>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蓄水量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（</w:t>
            </w:r>
            <w:r>
              <w:rPr>
                <w:sz w:val="19"/>
                <w:szCs w:val="19"/>
                <w:shd w:val="clear" w:fill="FFFFFF"/>
              </w:rPr>
              <w:drawing>
                <wp:inline distT="0" distB="0" distL="114300" distR="114300">
                  <wp:extent cx="257175" cy="200025"/>
                  <wp:effectExtent l="0" t="0" r="1905" b="0"/>
                  <wp:docPr id="12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19"/>
                <w:szCs w:val="19"/>
                <w:shd w:val="clear" w:fill="FFFFFF"/>
              </w:rPr>
              <w:t>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建设后外排量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（</w:t>
            </w:r>
            <w:r>
              <w:rPr>
                <w:sz w:val="19"/>
                <w:szCs w:val="19"/>
                <w:shd w:val="clear" w:fill="FFFFFF"/>
              </w:rPr>
              <w:drawing>
                <wp:inline distT="0" distB="0" distL="114300" distR="114300">
                  <wp:extent cx="257175" cy="200025"/>
                  <wp:effectExtent l="0" t="0" r="1905" b="0"/>
                  <wp:docPr id="16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19"/>
                <w:szCs w:val="19"/>
                <w:shd w:val="clear" w:fill="FFFFFF"/>
              </w:rPr>
              <w:t>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1" w:after="0" w:afterAutospacing="1"/>
              <w:ind w:left="0" w:right="0"/>
            </w:pPr>
            <w:r>
              <w:rPr>
                <w:color w:val="000000"/>
                <w:sz w:val="19"/>
                <w:szCs w:val="19"/>
                <w:shd w:val="clear" w:fill="FFFFFF"/>
              </w:rPr>
              <w:t>实际外排综合流量径流系数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下凹绿地有效容积为：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 xml:space="preserve">蓄水池有效调蓄容积为： 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故，本项目实际外排综合流量径流系数为：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3.3年径流总量控制率计算过程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北京市的年径流总量控制率对应的设计降雨量取自《雨水控制与利用工程设计规范》DB11/685-2013的表3.1.1。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5276850" cy="742950"/>
            <wp:effectExtent l="0" t="0" r="11430" b="3810"/>
            <wp:docPr id="9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 descr="IMG_2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设计需达到85%的年径流总量控制率（即设计控制雨量为32.5mm），本项目采取入渗、调蓄和滞蓄等措施实现。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建设项目场地内设计降雨控制量：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场地入渗实现的控制量为：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981075" cy="209550"/>
            <wp:effectExtent l="0" t="0" r="9525" b="3810"/>
            <wp:docPr id="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 descr="IMG_2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式中：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drawing>
          <wp:inline distT="0" distB="0" distL="114300" distR="114300">
            <wp:extent cx="200025" cy="209550"/>
            <wp:effectExtent l="0" t="0" r="13335" b="3810"/>
            <wp:docPr id="1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 descr="IMG_2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>——场地综合径流系数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 xml:space="preserve">根据上述计算可知本项目场地综合径流系数为： 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 xml:space="preserve">则认为场地入渗实现的控制率为 ，实现的降雨控制量为： 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 xml:space="preserve">下凹绿地有效容积为： 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 xml:space="preserve">蓄水池有效调蓄容积为： 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 xml:space="preserve">本项目设计控制雨量为： 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故本项目年径流总量控制率 。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25"/>
          <w:szCs w:val="25"/>
        </w:rPr>
        <w:t>4.结论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综上所述，本项目达到《绿色建筑评价标准》GB/T 50378-2019条款4.2.14条：充分利用场地空间合理设置绿色雨水基础设施，对大于10hm</w:t>
      </w:r>
      <w:r>
        <w:rPr>
          <w:sz w:val="19"/>
          <w:szCs w:val="19"/>
          <w:vertAlign w:val="superscript"/>
        </w:rPr>
        <w:t>2</w:t>
      </w:r>
      <w:r>
        <w:rPr>
          <w:sz w:val="19"/>
          <w:szCs w:val="19"/>
        </w:rPr>
        <w:t>的场地进行雨水专项规划设计：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1、下凹式绿地占绿地面积的比例为 %；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2、公共停车场、人行道、步行街、自行车道和休闲广场、室外庭院的透水铺装率为 %＞ %；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3、建设后场地外排雨水流量径流系数为 ＜0.4。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19"/>
          <w:szCs w:val="19"/>
        </w:rPr>
        <w:t>条款8.2.2条：合理规划地表与屋面雨水径流，对场地雨水实施外排总量控制，评价总分值为10分。本项目作为新开发区域年径流总量控制率达到 %，得 分。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4NjI5OTBmMDM1ODFlMDkzNDFlZTFiMWNhZWU5ZTMifQ=="/>
  </w:docVars>
  <w:rsids>
    <w:rsidRoot w:val="00000000"/>
    <w:rsid w:val="6B54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2023-02-18T16:18:43Z</dcterms:created>
  <dc:creator>刘帆</dc:creator>
  <cp:lastModifiedBy>LIU</cp:lastModifiedBy>
  <dcterms:modified xsi:type="dcterms:W3CDTF">2023-02-18T16:24:38Z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8DF26118E7BD45A49934C4A07E88649C</vt:lpwstr>
  </property>
</Properties>
</file>