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t>7.2.17</w:t>
      </w:r>
      <w:r>
        <w:rPr>
          <w:rFonts w:hint="eastAsia"/>
        </w:rPr>
        <w:t>选用可再循环材料、可再利用材料及利废建材。（总分</w:t>
      </w:r>
      <w:r>
        <w:t>12</w:t>
      </w:r>
      <w:r>
        <w:rPr>
          <w:rFonts w:hint="eastAsia"/>
        </w:rPr>
        <w:t>分）</w:t>
      </w:r>
    </w:p>
    <w:p>
      <w:pPr>
        <w:numPr>
          <w:ilvl w:val="0"/>
          <w:numId w:val="1"/>
        </w:numPr>
        <w:spacing w:line="288" w:lineRule="auto"/>
        <w:rPr>
          <w:rFonts w:cs="宋体"/>
          <w:b/>
          <w:bCs/>
          <w:sz w:val="24"/>
          <w:lang w:val="zh-CN"/>
        </w:rPr>
      </w:pPr>
      <w:r>
        <w:rPr>
          <w:rFonts w:hint="eastAsia" w:cs="宋体"/>
          <w:b/>
          <w:bCs/>
          <w:sz w:val="24"/>
          <w:lang w:val="zh-CN"/>
        </w:rPr>
        <w:t>得分自评</w:t>
      </w:r>
    </w:p>
    <w:tbl>
      <w:tblPr>
        <w:tblStyle w:val="6"/>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序号</w:t>
            </w:r>
          </w:p>
        </w:tc>
        <w:tc>
          <w:tcPr>
            <w:tcW w:w="155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　</w:t>
            </w:r>
          </w:p>
        </w:tc>
        <w:tc>
          <w:tcPr>
            <w:tcW w:w="3661" w:type="dxa"/>
            <w:tcBorders>
              <w:top w:val="single" w:color="auto" w:sz="4" w:space="0"/>
              <w:left w:val="nil"/>
              <w:bottom w:val="single" w:color="auto" w:sz="4" w:space="0"/>
              <w:right w:val="single" w:color="auto" w:sz="4" w:space="0"/>
            </w:tcBorders>
            <w:vAlign w:val="center"/>
          </w:tcPr>
          <w:p>
            <w:pPr>
              <w:widowControl/>
              <w:jc w:val="center"/>
              <w:rPr>
                <w:rFonts w:ascii="宋体" w:cs="宋体"/>
                <w:b/>
                <w:bCs/>
                <w:color w:val="000000"/>
                <w:kern w:val="0"/>
                <w:szCs w:val="21"/>
              </w:rPr>
            </w:pPr>
            <w:r>
              <w:rPr>
                <w:rFonts w:hint="eastAsia" w:ascii="宋体" w:hAnsi="宋体" w:cs="宋体"/>
                <w:b/>
                <w:bCs/>
                <w:color w:val="000000"/>
                <w:kern w:val="0"/>
                <w:szCs w:val="21"/>
              </w:rPr>
              <w:t>评价内容</w:t>
            </w:r>
          </w:p>
        </w:tc>
        <w:tc>
          <w:tcPr>
            <w:tcW w:w="1159" w:type="dxa"/>
            <w:tcBorders>
              <w:top w:val="single" w:color="auto" w:sz="4" w:space="0"/>
              <w:left w:val="nil"/>
              <w:bottom w:val="single" w:color="auto" w:sz="4" w:space="0"/>
              <w:right w:val="single" w:color="auto" w:sz="4" w:space="0"/>
            </w:tcBorders>
            <w:noWrap/>
          </w:tcPr>
          <w:p>
            <w:pPr>
              <w:widowControl/>
              <w:jc w:val="center"/>
              <w:rPr>
                <w:rFonts w:ascii="宋体" w:cs="宋体"/>
                <w:b/>
                <w:bCs/>
                <w:color w:val="000000"/>
                <w:kern w:val="0"/>
                <w:szCs w:val="21"/>
              </w:rPr>
            </w:pPr>
            <w:r>
              <w:rPr>
                <w:rFonts w:hint="eastAsia" w:ascii="宋体" w:hAnsi="宋体" w:cs="宋体"/>
                <w:b/>
                <w:bCs/>
                <w:color w:val="000000"/>
                <w:kern w:val="0"/>
                <w:szCs w:val="21"/>
              </w:rPr>
              <w:t>评价分值（分）</w:t>
            </w:r>
          </w:p>
        </w:tc>
        <w:tc>
          <w:tcPr>
            <w:tcW w:w="1134" w:type="dxa"/>
            <w:tcBorders>
              <w:top w:val="single" w:color="auto" w:sz="4" w:space="0"/>
              <w:left w:val="nil"/>
              <w:bottom w:val="single" w:color="auto" w:sz="4" w:space="0"/>
              <w:right w:val="single" w:color="auto" w:sz="4" w:space="0"/>
            </w:tcBorders>
            <w:noWrap/>
          </w:tcPr>
          <w:p>
            <w:pPr>
              <w:widowControl/>
              <w:jc w:val="center"/>
              <w:rPr>
                <w:rFonts w:ascii="宋体" w:cs="宋体"/>
                <w:b/>
                <w:bCs/>
                <w:color w:val="000000"/>
                <w:kern w:val="0"/>
                <w:szCs w:val="21"/>
              </w:rPr>
            </w:pPr>
            <w:r>
              <w:rPr>
                <w:rFonts w:hint="eastAsia" w:ascii="宋体" w:hAnsi="宋体" w:cs="宋体"/>
                <w:b/>
                <w:bCs/>
                <w:color w:val="000000"/>
                <w:kern w:val="0"/>
                <w:szCs w:val="21"/>
              </w:rPr>
              <w:t>自评得分（分）</w:t>
            </w:r>
          </w:p>
        </w:tc>
      </w:tr>
      <w:tr>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right w:val="single" w:color="auto" w:sz="4" w:space="0"/>
            </w:tcBorders>
            <w:vAlign w:val="center"/>
          </w:tcPr>
          <w:p>
            <w:pPr>
              <w:widowControl/>
              <w:jc w:val="center"/>
              <w:rPr>
                <w:rFonts w:ascii="宋体" w:hAnsi="宋体" w:cs="宋体"/>
                <w:color w:val="000000"/>
                <w:kern w:val="0"/>
                <w:szCs w:val="21"/>
              </w:rPr>
            </w:pPr>
            <w:r>
              <w:rPr>
                <w:rFonts w:ascii="宋体" w:hAnsi="宋体" w:cs="宋体"/>
                <w:color w:val="000000"/>
                <w:kern w:val="0"/>
                <w:szCs w:val="21"/>
              </w:rPr>
              <w:t>1</w:t>
            </w:r>
          </w:p>
        </w:tc>
        <w:tc>
          <w:tcPr>
            <w:tcW w:w="1559" w:type="dxa"/>
            <w:vMerge w:val="restart"/>
            <w:tcBorders>
              <w:top w:val="nil"/>
              <w:left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可再循环材料和可再利用材料用量比例</w:t>
            </w:r>
          </w:p>
          <w:p>
            <w:pPr>
              <w:jc w:val="left"/>
              <w:rPr>
                <w:rFonts w:ascii="宋体" w:hAnsi="宋体" w:cs="宋体"/>
                <w:color w:val="000000"/>
                <w:kern w:val="0"/>
                <w:szCs w:val="21"/>
              </w:rPr>
            </w:pPr>
            <w:r>
              <w:rPr>
                <w:rFonts w:hint="eastAsia" w:ascii="宋体" w:hAnsi="宋体" w:cs="宋体"/>
                <w:color w:val="000000"/>
                <w:kern w:val="0"/>
                <w:szCs w:val="21"/>
              </w:rPr>
              <w:t>　</w:t>
            </w:r>
          </w:p>
        </w:tc>
        <w:tc>
          <w:tcPr>
            <w:tcW w:w="3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住宅建筑达到</w:t>
            </w:r>
            <w:r>
              <w:rPr>
                <w:rFonts w:ascii="宋体" w:hAnsi="宋体" w:cs="宋体"/>
                <w:color w:val="000000"/>
                <w:kern w:val="0"/>
                <w:szCs w:val="21"/>
              </w:rPr>
              <w:t xml:space="preserve"> 6% </w:t>
            </w:r>
            <w:r>
              <w:rPr>
                <w:rFonts w:hint="eastAsia" w:ascii="宋体" w:hAnsi="宋体" w:cs="宋体"/>
                <w:color w:val="000000"/>
                <w:kern w:val="0"/>
                <w:szCs w:val="21"/>
              </w:rPr>
              <w:t>或公共建筑达到</w:t>
            </w:r>
            <w:r>
              <w:rPr>
                <w:rFonts w:ascii="宋体" w:hAnsi="宋体" w:cs="宋体"/>
                <w:color w:val="000000"/>
                <w:kern w:val="0"/>
                <w:szCs w:val="21"/>
              </w:rPr>
              <w:t xml:space="preserve"> 10%</w:t>
            </w:r>
          </w:p>
        </w:tc>
        <w:tc>
          <w:tcPr>
            <w:tcW w:w="115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w:t>
            </w:r>
          </w:p>
        </w:tc>
        <w:tc>
          <w:tcPr>
            <w:tcW w:w="1134" w:type="dxa"/>
            <w:vMerge w:val="restart"/>
            <w:tcBorders>
              <w:top w:val="nil"/>
              <w:left w:val="single" w:color="auto" w:sz="4" w:space="0"/>
              <w:bottom w:val="single" w:color="000000" w:sz="4" w:space="0"/>
              <w:right w:val="single" w:color="auto" w:sz="4" w:space="0"/>
            </w:tcBorders>
            <w:noWrap/>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270" w:hRule="atLeast"/>
        </w:trPr>
        <w:tc>
          <w:tcPr>
            <w:tcW w:w="726" w:type="dxa"/>
            <w:vMerge w:val="continue"/>
            <w:tcBorders>
              <w:left w:val="single" w:color="auto" w:sz="4" w:space="0"/>
              <w:bottom w:val="single" w:color="auto" w:sz="4" w:space="0"/>
              <w:right w:val="single" w:color="auto" w:sz="4" w:space="0"/>
            </w:tcBorders>
          </w:tcPr>
          <w:p>
            <w:pPr>
              <w:widowControl/>
              <w:jc w:val="center"/>
              <w:rPr>
                <w:rFonts w:ascii="宋体" w:hAnsi="宋体" w:cs="宋体"/>
                <w:color w:val="000000"/>
                <w:kern w:val="0"/>
                <w:szCs w:val="21"/>
              </w:rPr>
            </w:pPr>
          </w:p>
        </w:tc>
        <w:tc>
          <w:tcPr>
            <w:tcW w:w="1559"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p>
        </w:tc>
        <w:tc>
          <w:tcPr>
            <w:tcW w:w="3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住宅建筑达到</w:t>
            </w:r>
            <w:r>
              <w:rPr>
                <w:rFonts w:ascii="宋体" w:hAnsi="宋体" w:cs="宋体"/>
                <w:color w:val="000000"/>
                <w:kern w:val="0"/>
                <w:szCs w:val="21"/>
              </w:rPr>
              <w:t xml:space="preserve"> 10% </w:t>
            </w:r>
            <w:r>
              <w:rPr>
                <w:rFonts w:hint="eastAsia" w:ascii="宋体" w:hAnsi="宋体" w:cs="宋体"/>
                <w:color w:val="000000"/>
                <w:kern w:val="0"/>
                <w:szCs w:val="21"/>
              </w:rPr>
              <w:t>或公共建筑达到</w:t>
            </w:r>
            <w:r>
              <w:rPr>
                <w:rFonts w:ascii="宋体" w:hAnsi="宋体" w:cs="宋体"/>
                <w:color w:val="000000"/>
                <w:kern w:val="0"/>
                <w:szCs w:val="21"/>
              </w:rPr>
              <w:t xml:space="preserve"> 15%</w:t>
            </w:r>
          </w:p>
        </w:tc>
        <w:tc>
          <w:tcPr>
            <w:tcW w:w="115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right w:val="single" w:color="auto" w:sz="4" w:space="0"/>
            </w:tcBorders>
            <w:vAlign w:val="center"/>
          </w:tcPr>
          <w:p>
            <w:pPr>
              <w:jc w:val="center"/>
              <w:rPr>
                <w:rFonts w:ascii="宋体" w:hAnsi="宋体" w:cs="宋体"/>
                <w:color w:val="000000"/>
                <w:kern w:val="0"/>
                <w:szCs w:val="21"/>
              </w:rPr>
            </w:pPr>
            <w:r>
              <w:rPr>
                <w:rFonts w:ascii="宋体" w:hAnsi="宋体" w:cs="宋体"/>
                <w:color w:val="000000"/>
                <w:kern w:val="0"/>
                <w:szCs w:val="21"/>
              </w:rPr>
              <w:t>2</w:t>
            </w:r>
          </w:p>
        </w:tc>
        <w:tc>
          <w:tcPr>
            <w:tcW w:w="1559" w:type="dxa"/>
            <w:vMerge w:val="restart"/>
            <w:tcBorders>
              <w:top w:val="nil"/>
              <w:left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利废建材选用及其用量比例</w:t>
            </w:r>
          </w:p>
          <w:p>
            <w:pPr>
              <w:jc w:val="left"/>
              <w:rPr>
                <w:rFonts w:ascii="宋体" w:hAnsi="宋体" w:cs="宋体"/>
                <w:color w:val="000000"/>
                <w:kern w:val="0"/>
                <w:szCs w:val="21"/>
              </w:rPr>
            </w:pPr>
            <w:r>
              <w:rPr>
                <w:rFonts w:hint="eastAsia" w:ascii="宋体" w:hAnsi="宋体" w:cs="宋体"/>
                <w:color w:val="000000"/>
                <w:kern w:val="0"/>
                <w:szCs w:val="21"/>
              </w:rPr>
              <w:t>　</w:t>
            </w:r>
          </w:p>
        </w:tc>
        <w:tc>
          <w:tcPr>
            <w:tcW w:w="3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采用一种利废建材，其占同类建材的用量比例不低于</w:t>
            </w:r>
            <w:r>
              <w:rPr>
                <w:rFonts w:ascii="宋体" w:hAnsi="宋体" w:cs="宋体"/>
                <w:color w:val="000000"/>
                <w:kern w:val="0"/>
                <w:szCs w:val="21"/>
              </w:rPr>
              <w:t>50%</w:t>
            </w:r>
          </w:p>
        </w:tc>
        <w:tc>
          <w:tcPr>
            <w:tcW w:w="115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3</w:t>
            </w:r>
          </w:p>
        </w:tc>
        <w:tc>
          <w:tcPr>
            <w:tcW w:w="1134" w:type="dxa"/>
            <w:vMerge w:val="restart"/>
            <w:tcBorders>
              <w:top w:val="nil"/>
              <w:left w:val="single" w:color="auto" w:sz="4" w:space="0"/>
              <w:bottom w:val="single" w:color="000000" w:sz="4" w:space="0"/>
              <w:right w:val="single" w:color="auto" w:sz="4" w:space="0"/>
            </w:tcBorders>
            <w:noWrap/>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　</w:t>
            </w: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540" w:hRule="atLeast"/>
        </w:trPr>
        <w:tc>
          <w:tcPr>
            <w:tcW w:w="7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559" w:type="dxa"/>
            <w:vMerge w:val="continue"/>
            <w:tcBorders>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Cs w:val="21"/>
              </w:rPr>
            </w:pPr>
          </w:p>
        </w:tc>
        <w:tc>
          <w:tcPr>
            <w:tcW w:w="36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选用两种及以上的利废建材，每一种占同类建材的用量比例均不低于</w:t>
            </w:r>
            <w:r>
              <w:rPr>
                <w:rFonts w:ascii="宋体" w:hAnsi="宋体" w:cs="宋体"/>
                <w:color w:val="000000"/>
                <w:kern w:val="0"/>
                <w:szCs w:val="21"/>
              </w:rPr>
              <w:t>30%</w:t>
            </w:r>
          </w:p>
        </w:tc>
        <w:tc>
          <w:tcPr>
            <w:tcW w:w="115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pPr>
              <w:widowControl/>
              <w:jc w:val="left"/>
              <w:rPr>
                <w:rFonts w:ascii="宋体" w:hAnsi="宋体" w:cs="宋体"/>
                <w:color w:val="000000"/>
                <w:kern w:val="0"/>
                <w:szCs w:val="21"/>
              </w:rPr>
            </w:pPr>
            <w:r>
              <w:rPr>
                <w:rFonts w:hint="eastAsia" w:ascii="宋体" w:hAnsi="宋体" w:cs="宋体"/>
                <w:color w:val="000000"/>
                <w:kern w:val="0"/>
                <w:szCs w:val="21"/>
              </w:rPr>
              <w:t>合计</w:t>
            </w:r>
          </w:p>
        </w:tc>
        <w:tc>
          <w:tcPr>
            <w:tcW w:w="1159" w:type="dxa"/>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Cs w:val="21"/>
              </w:rPr>
            </w:pPr>
            <w:r>
              <w:rPr>
                <w:rFonts w:ascii="宋体" w:hAnsi="宋体" w:cs="宋体"/>
                <w:color w:val="000000"/>
                <w:kern w:val="0"/>
                <w:szCs w:val="21"/>
              </w:rPr>
              <w:t>12</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r>
    </w:tbl>
    <w:p>
      <w:pPr>
        <w:spacing w:line="288" w:lineRule="auto"/>
        <w:rPr>
          <w:rFonts w:cs="宋体"/>
          <w:b/>
          <w:bCs/>
          <w:sz w:val="24"/>
          <w:lang w:val="zh-CN"/>
        </w:rPr>
      </w:pPr>
    </w:p>
    <w:p>
      <w:pPr>
        <w:numPr>
          <w:ilvl w:val="0"/>
          <w:numId w:val="2"/>
        </w:numPr>
        <w:spacing w:line="288" w:lineRule="auto"/>
        <w:rPr>
          <w:rFonts w:cs="宋体"/>
          <w:b/>
          <w:bCs/>
          <w:sz w:val="24"/>
          <w:lang w:val="zh-CN"/>
        </w:rPr>
      </w:pPr>
      <w:r>
        <w:rPr>
          <w:rFonts w:hint="eastAsia" w:cs="宋体"/>
          <w:b/>
          <w:bCs/>
          <w:sz w:val="24"/>
          <w:lang w:val="zh-CN"/>
        </w:rPr>
        <w:t>评价要点</w:t>
      </w:r>
    </w:p>
    <w:p>
      <w:pPr>
        <w:pStyle w:val="11"/>
        <w:numPr>
          <w:ilvl w:val="0"/>
          <w:numId w:val="3"/>
        </w:numPr>
        <w:spacing w:line="288" w:lineRule="auto"/>
        <w:ind w:firstLineChars="0"/>
        <w:rPr>
          <w:b/>
          <w:lang w:val="zh-CN"/>
        </w:rPr>
      </w:pPr>
      <w:r>
        <w:rPr>
          <w:rFonts w:hint="eastAsia"/>
          <w:b/>
          <w:lang w:val="zh-CN"/>
        </w:rPr>
        <w:t>可再利用材料和可再循环材料使用情况：</w:t>
      </w:r>
    </w:p>
    <w:p>
      <w:pPr>
        <w:spacing w:line="288" w:lineRule="auto"/>
        <w:rPr>
          <w:rFonts w:cs="宋体"/>
        </w:rPr>
      </w:pPr>
      <w:r>
        <w:rPr>
          <w:rFonts w:hint="eastAsia" w:cs="宋体"/>
        </w:rPr>
        <w:t>建筑可再利用材料使用重量：</w:t>
      </w:r>
      <w:r>
        <w:rPr>
          <w:u w:val="single"/>
          <w:lang w:val="zh-CN"/>
        </w:rPr>
        <w:t xml:space="preserve">   </w:t>
      </w:r>
      <w:r>
        <w:rPr>
          <w:rFonts w:ascii="微软雅黑" w:hAnsi="微软雅黑" w:eastAsia="微软雅黑" w:cs="微软雅黑"/>
          <w:i w:val="0"/>
          <w:iCs w:val="0"/>
          <w:caps w:val="0"/>
          <w:color w:val="000000"/>
          <w:spacing w:val="0"/>
          <w:sz w:val="27"/>
          <w:szCs w:val="27"/>
        </w:rPr>
        <w:t>32542.295</w:t>
      </w:r>
      <w:r>
        <w:rPr>
          <w:u w:val="single"/>
          <w:lang w:val="zh-CN"/>
        </w:rPr>
        <w:t xml:space="preserve">   </w:t>
      </w:r>
      <w:r>
        <w:rPr>
          <w:rFonts w:cs="宋体"/>
        </w:rPr>
        <w:t>t</w:t>
      </w:r>
      <w:r>
        <w:rPr>
          <w:rFonts w:hint="eastAsia" w:cs="宋体"/>
        </w:rPr>
        <w:t>；</w:t>
      </w:r>
    </w:p>
    <w:p>
      <w:pPr>
        <w:spacing w:line="288" w:lineRule="auto"/>
        <w:rPr>
          <w:rFonts w:cs="宋体"/>
        </w:rPr>
      </w:pPr>
      <w:r>
        <w:rPr>
          <w:rFonts w:hint="eastAsia" w:cs="宋体"/>
        </w:rPr>
        <w:t>建筑可再循环材料使用重量：</w:t>
      </w:r>
      <w:r>
        <w:rPr>
          <w:u w:val="single"/>
          <w:lang w:val="zh-CN"/>
        </w:rPr>
        <w:t xml:space="preserve">    </w:t>
      </w:r>
      <w:r>
        <w:rPr>
          <w:rFonts w:ascii="微软雅黑" w:hAnsi="微软雅黑" w:eastAsia="微软雅黑" w:cs="微软雅黑"/>
          <w:i w:val="0"/>
          <w:iCs w:val="0"/>
          <w:caps w:val="0"/>
          <w:color w:val="000000"/>
          <w:spacing w:val="0"/>
          <w:sz w:val="27"/>
          <w:szCs w:val="27"/>
        </w:rPr>
        <w:t>32542.295</w:t>
      </w:r>
      <w:r>
        <w:rPr>
          <w:u w:val="single"/>
          <w:lang w:val="zh-CN"/>
        </w:rPr>
        <w:t xml:space="preserve">  </w:t>
      </w:r>
      <w:r>
        <w:rPr>
          <w:rFonts w:cs="宋体"/>
        </w:rPr>
        <w:t>t</w:t>
      </w:r>
      <w:r>
        <w:rPr>
          <w:rFonts w:hint="eastAsia" w:cs="宋体"/>
        </w:rPr>
        <w:t>；</w:t>
      </w:r>
    </w:p>
    <w:p>
      <w:pPr>
        <w:spacing w:line="288" w:lineRule="auto"/>
        <w:rPr>
          <w:rFonts w:cs="宋体"/>
        </w:rPr>
      </w:pPr>
      <w:r>
        <w:rPr>
          <w:rFonts w:hint="eastAsia" w:cs="宋体"/>
        </w:rPr>
        <w:t>本项目所有建筑材料总重量：</w:t>
      </w:r>
      <w:r>
        <w:rPr>
          <w:u w:val="single"/>
          <w:lang w:val="zh-CN"/>
        </w:rPr>
        <w:t xml:space="preserve">  </w:t>
      </w:r>
      <w:r>
        <w:rPr>
          <w:rFonts w:ascii="微软雅黑" w:hAnsi="微软雅黑" w:eastAsia="微软雅黑" w:cs="微软雅黑"/>
          <w:i w:val="0"/>
          <w:iCs w:val="0"/>
          <w:caps w:val="0"/>
          <w:color w:val="000000"/>
          <w:spacing w:val="0"/>
          <w:sz w:val="27"/>
          <w:szCs w:val="27"/>
        </w:rPr>
        <w:t>260924.049</w:t>
      </w:r>
      <w:r>
        <w:rPr>
          <w:u w:val="single"/>
          <w:lang w:val="zh-CN"/>
        </w:rPr>
        <w:t xml:space="preserve">    </w:t>
      </w:r>
      <w:r>
        <w:rPr>
          <w:rFonts w:cs="宋体"/>
        </w:rPr>
        <w:t>t</w:t>
      </w:r>
      <w:r>
        <w:rPr>
          <w:rFonts w:hint="eastAsia" w:cs="宋体"/>
        </w:rPr>
        <w:t>；</w:t>
      </w:r>
    </w:p>
    <w:p>
      <w:pPr>
        <w:spacing w:line="288" w:lineRule="auto"/>
        <w:rPr>
          <w:rFonts w:cs="宋体"/>
        </w:rPr>
      </w:pPr>
      <w:r>
        <w:rPr>
          <w:rFonts w:hint="eastAsia" w:cs="宋体"/>
        </w:rPr>
        <w:t>可再利用材料和可再循环材料使用重量占所有建筑材料总重量的比例：</w:t>
      </w:r>
      <w:r>
        <w:rPr>
          <w:u w:val="single"/>
          <w:lang w:val="zh-CN"/>
        </w:rPr>
        <w:t xml:space="preserve">   </w:t>
      </w:r>
      <w:r>
        <w:rPr>
          <w:rFonts w:ascii="微软雅黑" w:hAnsi="微软雅黑" w:eastAsia="微软雅黑" w:cs="微软雅黑"/>
          <w:i w:val="0"/>
          <w:iCs w:val="0"/>
          <w:caps w:val="0"/>
          <w:color w:val="000000"/>
          <w:spacing w:val="0"/>
          <w:sz w:val="27"/>
          <w:szCs w:val="27"/>
        </w:rPr>
        <w:t>12.47%</w:t>
      </w:r>
      <w:r>
        <w:rPr>
          <w:u w:val="single"/>
          <w:lang w:val="zh-CN"/>
        </w:rPr>
        <w:t xml:space="preserve">   </w:t>
      </w:r>
      <w:r>
        <w:rPr>
          <w:rFonts w:cs="宋体"/>
        </w:rPr>
        <w:t>%</w:t>
      </w:r>
      <w:r>
        <w:rPr>
          <w:rFonts w:hint="eastAsia" w:cs="宋体"/>
        </w:rPr>
        <w:t>。</w:t>
      </w:r>
    </w:p>
    <w:p>
      <w:pPr>
        <w:spacing w:line="288" w:lineRule="auto"/>
      </w:pPr>
    </w:p>
    <w:p>
      <w:pPr>
        <w:numPr>
          <w:ilvl w:val="0"/>
          <w:numId w:val="2"/>
        </w:numPr>
        <w:spacing w:line="288" w:lineRule="auto"/>
        <w:rPr>
          <w:rFonts w:cs="宋体"/>
          <w:b/>
          <w:bCs/>
          <w:sz w:val="24"/>
          <w:lang w:val="zh-CN"/>
        </w:rPr>
      </w:pPr>
      <w:r>
        <w:rPr>
          <w:rFonts w:hint="eastAsia" w:cs="宋体"/>
          <w:b/>
          <w:bCs/>
          <w:sz w:val="24"/>
          <w:lang w:val="zh-CN"/>
        </w:rPr>
        <w:t>证明材料</w:t>
      </w:r>
    </w:p>
    <w:p>
      <w:pPr>
        <w:spacing w:before="156" w:beforeLines="50" w:after="156" w:afterLines="50" w:line="288" w:lineRule="auto"/>
        <w:rPr>
          <w:b/>
        </w:rPr>
      </w:pPr>
      <w:r>
        <w:rPr>
          <w:rFonts w:hint="eastAsia"/>
          <w:b/>
        </w:rPr>
        <w:t>建议提交材料及技术要求：</w:t>
      </w:r>
    </w:p>
    <w:tbl>
      <w:tblPr>
        <w:tblStyle w:val="6"/>
        <w:tblW w:w="8320" w:type="dxa"/>
        <w:tblInd w:w="108" w:type="dxa"/>
        <w:tblLayout w:type="autofit"/>
        <w:tblCellMar>
          <w:top w:w="0" w:type="dxa"/>
          <w:left w:w="108" w:type="dxa"/>
          <w:bottom w:w="0" w:type="dxa"/>
          <w:right w:w="108" w:type="dxa"/>
        </w:tblCellMar>
      </w:tblPr>
      <w:tblGrid>
        <w:gridCol w:w="740"/>
        <w:gridCol w:w="2020"/>
        <w:gridCol w:w="3855"/>
        <w:gridCol w:w="905"/>
        <w:gridCol w:w="800"/>
      </w:tblGrid>
      <w:tr>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材料名称</w:t>
            </w:r>
          </w:p>
        </w:tc>
        <w:tc>
          <w:tcPr>
            <w:tcW w:w="3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技术要求</w:t>
            </w:r>
          </w:p>
        </w:tc>
        <w:tc>
          <w:tcPr>
            <w:tcW w:w="9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评价</w:t>
            </w:r>
          </w:p>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阶段</w:t>
            </w:r>
          </w:p>
        </w:tc>
        <w:tc>
          <w:tcPr>
            <w:tcW w:w="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建筑类型</w:t>
            </w:r>
          </w:p>
        </w:tc>
      </w:tr>
      <w:tr>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建筑设计</w:t>
            </w: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设计说明书</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施工图</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工程概预算材料清单</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各类材料用量比例计算书</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其他材料</w:t>
            </w: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可再利用材料和可再循环材料使用比例计算书</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应体现项目实际采用的可再利用材料和可再循环材料的种类、使用部位、用量及使用比例（指标要求与自评一致）</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r>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宋体"/>
                <w:b/>
                <w:bCs/>
                <w:color w:val="000000"/>
                <w:kern w:val="0"/>
                <w:sz w:val="22"/>
                <w:szCs w:val="22"/>
              </w:rPr>
            </w:pPr>
          </w:p>
        </w:tc>
        <w:tc>
          <w:tcPr>
            <w:tcW w:w="2020" w:type="dxa"/>
            <w:tcBorders>
              <w:top w:val="nil"/>
              <w:left w:val="nil"/>
              <w:bottom w:val="single" w:color="auto" w:sz="4" w:space="0"/>
              <w:right w:val="single" w:color="auto"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建筑工程造价预算</w:t>
            </w:r>
            <w:r>
              <w:rPr>
                <w:rFonts w:ascii="宋体" w:hAnsi="宋体" w:cs="宋体"/>
                <w:b/>
                <w:bCs/>
                <w:color w:val="000000"/>
                <w:kern w:val="0"/>
                <w:sz w:val="22"/>
                <w:szCs w:val="22"/>
              </w:rPr>
              <w:t>/</w:t>
            </w:r>
            <w:r>
              <w:rPr>
                <w:rFonts w:hint="eastAsia" w:ascii="宋体" w:hAnsi="宋体" w:cs="宋体"/>
                <w:b/>
                <w:bCs/>
                <w:color w:val="000000"/>
                <w:kern w:val="0"/>
                <w:sz w:val="22"/>
                <w:szCs w:val="22"/>
              </w:rPr>
              <w:t>决算清单</w:t>
            </w:r>
          </w:p>
        </w:tc>
        <w:tc>
          <w:tcPr>
            <w:tcW w:w="385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应体现项目选用的全部材料种类、名称，使用部位、用量等信息，应与土建及装修设计图纸对应</w:t>
            </w:r>
          </w:p>
        </w:tc>
        <w:tc>
          <w:tcPr>
            <w:tcW w:w="90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预评价</w:t>
            </w:r>
          </w:p>
        </w:tc>
        <w:tc>
          <w:tcPr>
            <w:tcW w:w="80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居建</w:t>
            </w:r>
            <w:r>
              <w:rPr>
                <w:rFonts w:ascii="宋体" w:hAnsi="宋体" w:cs="宋体"/>
                <w:color w:val="000000"/>
                <w:kern w:val="0"/>
                <w:szCs w:val="21"/>
              </w:rPr>
              <w:t>/</w:t>
            </w:r>
            <w:r>
              <w:rPr>
                <w:rFonts w:hint="eastAsia" w:ascii="宋体" w:hAnsi="宋体" w:cs="宋体"/>
                <w:color w:val="000000"/>
                <w:kern w:val="0"/>
                <w:szCs w:val="21"/>
              </w:rPr>
              <w:t>公建</w:t>
            </w:r>
          </w:p>
        </w:tc>
      </w:tr>
    </w:tbl>
    <w:p>
      <w:pPr>
        <w:spacing w:before="156" w:beforeLines="50" w:after="156" w:afterLines="50" w:line="288" w:lineRule="auto"/>
      </w:pPr>
      <w:r>
        <w:rPr>
          <w:rFonts w:hint="eastAsia"/>
          <w:b/>
        </w:rPr>
        <w:t>实际提交材料：</w:t>
      </w:r>
    </w:p>
    <w:tbl>
      <w:tblPr>
        <w:tblStyle w:val="6"/>
        <w:tblW w:w="833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30" w:type="dxa"/>
          </w:tcPr>
          <w:p>
            <w:pPr>
              <w:spacing w:line="288" w:lineRule="auto"/>
              <w:rPr>
                <w:rFonts w:hint="eastAsia" w:eastAsia="宋体"/>
                <w:lang w:eastAsia="zh-CN"/>
              </w:rPr>
            </w:pPr>
            <w:r>
              <w:rPr>
                <w:rFonts w:hint="eastAsia" w:ascii="宋体" w:hAnsi="宋体" w:cs="宋体"/>
                <w:b/>
                <w:bCs/>
                <w:color w:val="000000"/>
                <w:kern w:val="0"/>
                <w:sz w:val="22"/>
                <w:szCs w:val="22"/>
              </w:rPr>
              <w:t>设计说明书</w:t>
            </w: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rPr>
              <w:t>施工图</w:t>
            </w: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rPr>
              <w:t>工程概预算材料清单</w:t>
            </w: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rPr>
              <w:t>各类材料用量比例计算书</w:t>
            </w:r>
            <w:r>
              <w:rPr>
                <w:rFonts w:hint="eastAsia" w:ascii="宋体" w:hAnsi="宋体" w:cs="宋体"/>
                <w:b/>
                <w:bCs/>
                <w:color w:val="000000"/>
                <w:kern w:val="0"/>
                <w:sz w:val="22"/>
                <w:szCs w:val="22"/>
                <w:lang w:eastAsia="zh-CN"/>
              </w:rPr>
              <w:t>、</w:t>
            </w:r>
            <w:r>
              <w:rPr>
                <w:rFonts w:hint="eastAsia" w:ascii="宋体" w:hAnsi="宋体" w:cs="宋体"/>
                <w:b/>
                <w:bCs/>
                <w:color w:val="000000"/>
                <w:kern w:val="0"/>
                <w:sz w:val="22"/>
                <w:szCs w:val="22"/>
              </w:rPr>
              <w:t>可再利用材料和可再循环材料使用比例计算书</w:t>
            </w:r>
            <w:bookmarkStart w:id="0" w:name="_GoBack"/>
            <w:bookmarkEnd w:id="0"/>
          </w:p>
        </w:tc>
      </w:tr>
    </w:tbl>
    <w:p>
      <w:pPr>
        <w:spacing w:line="288"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8190457"/>
    <w:multiLevelType w:val="multilevel"/>
    <w:tmpl w:val="58190457"/>
    <w:lvl w:ilvl="0" w:tentative="0">
      <w:start w:val="1"/>
      <w:numFmt w:val="decimal"/>
      <w:lvlText w:val="%1、"/>
      <w:lvlJc w:val="left"/>
      <w:pPr>
        <w:tabs>
          <w:tab w:val="left" w:pos="420"/>
        </w:tabs>
        <w:ind w:left="420" w:hanging="420"/>
      </w:pPr>
      <w:rPr>
        <w:rFonts w:hint="eastAsia" w:cs="Times New Roman"/>
        <w:b/>
        <w:bCs/>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62DD013F"/>
    <w:multiLevelType w:val="multilevel"/>
    <w:tmpl w:val="62DD013F"/>
    <w:lvl w:ilvl="0" w:tentative="0">
      <w:start w:val="2"/>
      <w:numFmt w:val="decimal"/>
      <w:lvlText w:val="%1、"/>
      <w:lvlJc w:val="left"/>
      <w:pPr>
        <w:tabs>
          <w:tab w:val="left" w:pos="420"/>
        </w:tabs>
        <w:ind w:left="420" w:hanging="420"/>
      </w:pPr>
      <w:rPr>
        <w:rFonts w:hint="eastAsia" w:cs="Times New Roman"/>
        <w:b/>
        <w:bCs/>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OGFiMjUyZDE4NmIyYWIxZmM0ZjkyMWZjZWU1NzgifQ=="/>
  </w:docVars>
  <w:rsids>
    <w:rsidRoot w:val="00F934F5"/>
    <w:rsid w:val="0001484C"/>
    <w:rsid w:val="00037762"/>
    <w:rsid w:val="000B1BD7"/>
    <w:rsid w:val="000E47DE"/>
    <w:rsid w:val="000F0353"/>
    <w:rsid w:val="00114B17"/>
    <w:rsid w:val="0012343E"/>
    <w:rsid w:val="00136FBD"/>
    <w:rsid w:val="00203A1B"/>
    <w:rsid w:val="002342C5"/>
    <w:rsid w:val="00250546"/>
    <w:rsid w:val="0028276B"/>
    <w:rsid w:val="002D3898"/>
    <w:rsid w:val="004012EC"/>
    <w:rsid w:val="0045130A"/>
    <w:rsid w:val="0046182D"/>
    <w:rsid w:val="00526CB8"/>
    <w:rsid w:val="0054269B"/>
    <w:rsid w:val="005A7AED"/>
    <w:rsid w:val="00623770"/>
    <w:rsid w:val="006F6B12"/>
    <w:rsid w:val="00771D52"/>
    <w:rsid w:val="00783368"/>
    <w:rsid w:val="008042FB"/>
    <w:rsid w:val="008E3E08"/>
    <w:rsid w:val="00950788"/>
    <w:rsid w:val="00961320"/>
    <w:rsid w:val="009D74C9"/>
    <w:rsid w:val="00A8431B"/>
    <w:rsid w:val="00AD01E6"/>
    <w:rsid w:val="00AD5CE7"/>
    <w:rsid w:val="00AF4DAB"/>
    <w:rsid w:val="00B626F8"/>
    <w:rsid w:val="00B65AA7"/>
    <w:rsid w:val="00B7548E"/>
    <w:rsid w:val="00BA7A1F"/>
    <w:rsid w:val="00BC5C60"/>
    <w:rsid w:val="00BE3738"/>
    <w:rsid w:val="00BF5EAD"/>
    <w:rsid w:val="00C90871"/>
    <w:rsid w:val="00CB6A62"/>
    <w:rsid w:val="00CD65CB"/>
    <w:rsid w:val="00CE339A"/>
    <w:rsid w:val="00D752BB"/>
    <w:rsid w:val="00DF7F8F"/>
    <w:rsid w:val="00E13A2F"/>
    <w:rsid w:val="00E177FC"/>
    <w:rsid w:val="00E44D0D"/>
    <w:rsid w:val="00E63C8F"/>
    <w:rsid w:val="00EA103D"/>
    <w:rsid w:val="00EA4EFA"/>
    <w:rsid w:val="00EE2E7E"/>
    <w:rsid w:val="00F306BB"/>
    <w:rsid w:val="00F7585B"/>
    <w:rsid w:val="00F82522"/>
    <w:rsid w:val="00F934F5"/>
    <w:rsid w:val="00F946AF"/>
    <w:rsid w:val="00FC204F"/>
    <w:rsid w:val="2A94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2"/>
    <w:next w:val="1"/>
    <w:link w:val="8"/>
    <w:qFormat/>
    <w:uiPriority w:val="99"/>
    <w:pPr>
      <w:snapToGrid w:val="0"/>
      <w:spacing w:before="120" w:after="120" w:line="240" w:lineRule="auto"/>
      <w:jc w:val="left"/>
      <w:outlineLvl w:val="2"/>
    </w:pPr>
    <w:rPr>
      <w:rFonts w:ascii="黑体" w:hAnsi="黑体" w:eastAsia="黑体" w:cs="Times New Roman"/>
      <w:kern w:val="0"/>
      <w:sz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字符"/>
    <w:basedOn w:val="7"/>
    <w:link w:val="3"/>
    <w:qFormat/>
    <w:uiPriority w:val="99"/>
    <w:rPr>
      <w:rFonts w:ascii="黑体" w:hAnsi="黑体" w:eastAsia="黑体" w:cs="Times New Roman"/>
      <w:b/>
      <w:bCs/>
      <w:kern w:val="0"/>
      <w:sz w:val="24"/>
      <w:szCs w:val="32"/>
    </w:rPr>
  </w:style>
  <w:style w:type="character" w:customStyle="1" w:styleId="9">
    <w:name w:val="条文 Char"/>
    <w:link w:val="10"/>
    <w:qFormat/>
    <w:locked/>
    <w:uiPriority w:val="99"/>
    <w:rPr>
      <w:rFonts w:ascii="Times New Roman" w:hAnsi="Times New Roman" w:eastAsia="宋体"/>
      <w:sz w:val="24"/>
    </w:rPr>
  </w:style>
  <w:style w:type="paragraph" w:customStyle="1" w:styleId="10">
    <w:name w:val="条文"/>
    <w:basedOn w:val="1"/>
    <w:link w:val="9"/>
    <w:qFormat/>
    <w:uiPriority w:val="99"/>
    <w:pPr>
      <w:spacing w:line="300" w:lineRule="auto"/>
      <w:outlineLvl w:val="2"/>
    </w:pPr>
    <w:rPr>
      <w:rFonts w:cstheme="minorBidi"/>
      <w:sz w:val="24"/>
      <w:szCs w:val="22"/>
    </w:rPr>
  </w:style>
  <w:style w:type="paragraph" w:styleId="11">
    <w:name w:val="List Paragraph"/>
    <w:basedOn w:val="1"/>
    <w:qFormat/>
    <w:uiPriority w:val="99"/>
    <w:pPr>
      <w:ind w:firstLine="420" w:firstLineChars="200"/>
    </w:pPr>
    <w:rPr>
      <w:szCs w:val="21"/>
    </w:rPr>
  </w:style>
  <w:style w:type="paragraph" w:customStyle="1" w:styleId="12">
    <w:name w:val="1、达标自评"/>
    <w:basedOn w:val="1"/>
    <w:qFormat/>
    <w:uiPriority w:val="99"/>
    <w:pPr>
      <w:spacing w:line="288" w:lineRule="auto"/>
      <w:ind w:left="420" w:hanging="420"/>
    </w:pPr>
    <w:rPr>
      <w:rFonts w:ascii="宋体" w:hAnsi="宋体"/>
      <w:b/>
      <w:kern w:val="0"/>
      <w:sz w:val="24"/>
    </w:rPr>
  </w:style>
  <w:style w:type="character" w:customStyle="1" w:styleId="13">
    <w:name w:val="标题 2 字符"/>
    <w:basedOn w:val="7"/>
    <w:link w:val="2"/>
    <w:semiHidden/>
    <w:uiPriority w:val="9"/>
    <w:rPr>
      <w:rFonts w:asciiTheme="majorHAnsi" w:hAnsiTheme="majorHAnsi" w:eastAsiaTheme="majorEastAsia" w:cstheme="majorBidi"/>
      <w:b/>
      <w:bCs/>
      <w:sz w:val="32"/>
      <w:szCs w:val="32"/>
    </w:rPr>
  </w:style>
  <w:style w:type="character" w:customStyle="1" w:styleId="14">
    <w:name w:val="页眉 字符"/>
    <w:basedOn w:val="7"/>
    <w:link w:val="5"/>
    <w:qFormat/>
    <w:uiPriority w:val="99"/>
    <w:rPr>
      <w:rFonts w:ascii="Times New Roman" w:hAnsi="Times New Roman" w:eastAsia="宋体" w:cs="Times New Roman"/>
      <w:sz w:val="18"/>
      <w:szCs w:val="18"/>
    </w:rPr>
  </w:style>
  <w:style w:type="character" w:customStyle="1" w:styleId="15">
    <w:name w:val="页脚 字符"/>
    <w:basedOn w:val="7"/>
    <w:link w:val="4"/>
    <w:uiPriority w:val="99"/>
    <w:rPr>
      <w:rFonts w:ascii="Times New Roman" w:hAnsi="Times New Roman" w:eastAsia="宋体" w:cs="Times New Roman"/>
      <w:sz w:val="18"/>
      <w:szCs w:val="18"/>
    </w:rPr>
  </w:style>
  <w:style w:type="paragraph" w:customStyle="1" w:styleId="1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545</Characters>
  <Lines>4</Lines>
  <Paragraphs>1</Paragraphs>
  <TotalTime>0</TotalTime>
  <ScaleCrop>false</ScaleCrop>
  <LinksUpToDate>false</LinksUpToDate>
  <CharactersWithSpaces>585</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2022-09-08T02:10:00Z</dcterms:created>
  <dc:creator>user</dc:creator>
  <cp:lastModifiedBy>青柠</cp:lastModifiedBy>
  <dcterms:modified xsi:type="dcterms:W3CDTF">2023-02-11T14:51:06Z</dcterms:modified>
  <dc:title>自评内容：结构/建材</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FC5AB94D15AF41E8984E52877530A93C</vt:lpwstr>
  </property>
</Properties>
</file>