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 xml:space="preserve">用途 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 □管理单元 设置：</w:t>
      </w:r>
    </w:p>
    <w:p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4"/>
              </w:rPr>
              <w:t xml:space="preserve"> 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给水水源为市政给水管网及中水给水管网，供水压力均为0.17MPa。自来水给水系统1~2层由市政直供，入户管工作压力0.17MPa;3~6层无负压自来水供水设备供水,入户管工作压力0.30MPa. 中水给水系统1层由市政中水管网直供，入户管工作压力0.17MPa; 2~6层由无负压中水供水设备供水,入户管工作压力0.35MPa。无负压供水设备采用全变频恒压供水设备。各层支管供水压力均不大于0.20MPa，满足各用水器具的水压要求。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1D7F451B"/>
    <w:rsid w:val="6A8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74A7A2E1DA24432BD34B46AE23831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AA27CD01BAB4AF5B5156F80D8418A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06449B900714633B7DED929C9A4F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3684BDC07343D288D5AFD0F935E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878D6320836401BAFD59B893DBC75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05F6D73435F439AA2B85F73FB7E6F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DED27ECDF6E44AC8AC639211874E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B3547097F254A4D8C50ABCB56E0D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743144E9E414003B50A63AD05333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C6590E03AC640D6A959C4454F7056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E862428E0604F7CA342AA8CD291D8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26A9A9CAA7F44582A21434DDD64CC0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EF91106EACD4D64B95E6EE10CEF66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021E2D1E0D3466C90A8F82471AD62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D252B58889B49CBBD7E941B7C9966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7EC94B8DA34897B647A413EE23B7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67AE71669684C8AAE23250C7AEFC2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1222</Words>
  <Characters>1362</Characters>
  <Lines>10</Lines>
  <Paragraphs>2</Paragraphs>
  <TotalTime>6</TotalTime>
  <ScaleCrop>false</ScaleCrop>
  <LinksUpToDate>false</LinksUpToDate>
  <CharactersWithSpaces>1399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.net</cp:lastModifiedBy>
  <dcterms:modified xsi:type="dcterms:W3CDTF">2023-02-19T08:46:52Z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A5ABCB200FC4446CA346D74B647CAAA8</vt:lpwstr>
  </property>
</Properties>
</file>