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  <w:r>
            <w:rPr>
              <w:rFonts w:hint="eastAsia"/>
              <w:sz w:val="21"/>
              <w:szCs w:val="21"/>
              <w:u w:val="single"/>
            </w:rPr>
            <w:t>建筑主出入口的主导风的下风向</w:t>
          </w:r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7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5D23CD"/>
    <w:rsid w:val="00074A38"/>
    <w:rsid w:val="00094243"/>
    <w:rsid w:val="00380BA8"/>
    <w:rsid w:val="005D23CD"/>
    <w:rsid w:val="00CB11E9"/>
    <w:rsid w:val="00EB14FF"/>
    <w:rsid w:val="3B6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3</Lines>
  <Paragraphs>1</Paragraphs>
  <TotalTime>0</TotalTime>
  <ScaleCrop>false</ScaleCrop>
  <LinksUpToDate>false</LinksUpToDate>
  <CharactersWithSpaces>369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.net</cp:lastModifiedBy>
  <dcterms:modified xsi:type="dcterms:W3CDTF">2023-02-18T07:55:33Z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9E5B9AF90EAC44BEA11C8F622D69256A</vt:lpwstr>
  </property>
</Properties>
</file>