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bookmarkStart w:id="8" w:name="_GoBack"/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建筑能耗</w:t>
      </w:r>
      <w:r>
        <w:rPr>
          <w:rFonts w:hint="eastAsia" w:ascii="黑体" w:hAnsi="宋体" w:eastAsia="黑体"/>
          <w:b/>
          <w:bCs/>
          <w:sz w:val="72"/>
          <w:szCs w:val="72"/>
        </w:rPr>
        <w:t>模拟分析报告</w:t>
      </w: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  <w:lang w:val="en-US"/>
        </w:rPr>
      </w:pPr>
    </w:p>
    <w:bookmarkEnd w:id="8"/>
    <w:p>
      <w:pPr>
        <w:spacing w:line="180" w:lineRule="atLeast"/>
        <w:jc w:val="center"/>
        <w:rPr>
          <w:rFonts w:ascii="Times New Roman" w:hAnsi="Times New Roman" w:eastAsia="宋体" w:cs="Times New Roman"/>
          <w:b w:val="0"/>
          <w:bCs/>
          <w:sz w:val="24"/>
          <w:szCs w:val="24"/>
          <w:lang w:val="en-US"/>
        </w:rPr>
      </w:pPr>
      <w:bookmarkStart w:id="0" w:name="建筑类别"/>
      <w:bookmarkEnd w:id="0"/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项目名称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bookmarkStart w:id="1" w:name="项目名称"/>
            <w:bookmarkEnd w:id="1"/>
            <w:r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  <w:t>恒氧·恒净— 后疫情时代校园建筑“智慧谷”零能耗设计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工程地点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bookmarkStart w:id="2" w:name="项目地点"/>
            <w:r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  <w:t>桂林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设计编号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bookmarkStart w:id="3" w:name="设计编号"/>
            <w:bookmarkEnd w:id="3"/>
            <w:r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  <w:t>YBA50097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建设单位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bookmarkStart w:id="4" w:name="建设单位"/>
            <w:bookmarkEnd w:id="4"/>
            <w:r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  <w:t>桂林电子科技大学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设计单位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bookmarkStart w:id="5" w:name="设计单位"/>
            <w:bookmarkEnd w:id="5"/>
            <w:r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  <w:t>桂林电子科技大学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设 计 人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校 对 人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审 核 人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审 定 人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设计日期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bookmarkStart w:id="6" w:name="报告日期"/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年12月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日</w:t>
            </w:r>
            <w:bookmarkEnd w:id="6"/>
          </w:p>
        </w:tc>
      </w:tr>
    </w:tbl>
    <w:p>
      <w:pPr>
        <w:spacing w:line="240" w:lineRule="auto"/>
        <w:rPr>
          <w:rFonts w:ascii="Times New Roman" w:hAnsi="Times New Roman" w:eastAsia="宋体" w:cs="Times New Roman"/>
          <w:b w:val="0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 w:eastAsia="宋体" w:cs="Times New Roman"/>
          <w:b w:val="0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 w:eastAsia="宋体" w:cs="Times New Roman"/>
          <w:b w:val="0"/>
          <w:sz w:val="24"/>
          <w:szCs w:val="24"/>
          <w:lang w:val="en-US"/>
        </w:rPr>
      </w:pPr>
    </w:p>
    <w:p>
      <w:pPr>
        <w:spacing w:line="240" w:lineRule="auto"/>
        <w:jc w:val="center"/>
        <w:rPr>
          <w:rFonts w:ascii="Times New Roman" w:hAnsi="Times New Roman" w:eastAsia="宋体" w:cs="Times New Roman"/>
          <w:b w:val="0"/>
          <w:sz w:val="24"/>
          <w:szCs w:val="24"/>
          <w:lang w:val="en-US"/>
        </w:rPr>
      </w:pPr>
      <w:bookmarkStart w:id="7" w:name="二维码"/>
      <w:bookmarkEnd w:id="7"/>
      <w:r>
        <w:rPr>
          <w:rFonts w:ascii="Times New Roman" w:hAnsi="Times New Roman" w:eastAsia="宋体" w:cs="Times New Roman"/>
          <w:b w:val="0"/>
          <w:sz w:val="24"/>
          <w:szCs w:val="24"/>
        </w:rPr>
        <w:drawing>
          <wp:inline distT="0" distB="0" distL="114300" distR="114300">
            <wp:extent cx="1514475" cy="1514475"/>
            <wp:effectExtent l="0" t="0" r="9525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Times New Roman" w:hAnsi="Times New Roman" w:eastAsia="宋体" w:cs="Times New Roman"/>
          <w:b w:val="0"/>
          <w:sz w:val="24"/>
          <w:szCs w:val="24"/>
          <w:lang w:val="en-US"/>
        </w:rPr>
      </w:pPr>
    </w:p>
    <w:p>
      <w:pPr>
        <w:spacing w:line="240" w:lineRule="auto"/>
        <w:jc w:val="center"/>
        <w:rPr>
          <w:rFonts w:ascii="Times New Roman" w:hAnsi="Times New Roman" w:eastAsia="宋体" w:cs="Times New Roman"/>
          <w:b w:val="0"/>
          <w:bCs/>
          <w:sz w:val="24"/>
          <w:szCs w:val="24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9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800" w:type="dxa"/>
            <w:shd w:val="clear" w:color="auto" w:fill="E6E6E6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采用软件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绿建斯维尔建筑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能耗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计算软件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研发单位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  <w:t>北京绿建软件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</w:rPr>
              <w:t>股份</w:t>
            </w:r>
            <w:r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  <w:t>有限公司</w:t>
            </w:r>
          </w:p>
        </w:tc>
      </w:tr>
    </w:tbl>
    <w:p>
      <w:pP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1计算目标：</w:t>
      </w:r>
    </w:p>
    <w:p>
      <w:pP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《绿色建筑评价标椎》（2019）7.2.8条：空调照明系统节能率</w:t>
      </w:r>
    </w:p>
    <w:p>
      <w:pPr>
        <w:rPr>
          <w:rFonts w:hint="default" w:ascii="Times New Roman" w:hAnsi="Times New Roman" w:eastAsia="宋体" w:cs="Times New Roman"/>
          <w:b w:val="0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结果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b w:val="0"/>
          <w:color w:val="FF0000"/>
          <w:sz w:val="24"/>
          <w:szCs w:val="24"/>
          <w:lang w:val="en-US" w:eastAsia="zh-CN"/>
        </w:rPr>
        <w:t>建筑综合电耗=25.64Kwh/m</w:t>
      </w:r>
      <w:r>
        <w:rPr>
          <w:rFonts w:hint="eastAsia" w:ascii="Times New Roman" w:hAnsi="Times New Roman" w:eastAsia="宋体" w:cs="Times New Roman"/>
          <w:b w:val="0"/>
          <w:color w:val="FF0000"/>
          <w:sz w:val="24"/>
          <w:szCs w:val="24"/>
          <w:vertAlign w:val="superscript"/>
          <w:lang w:val="en-US" w:eastAsia="zh-CN"/>
        </w:rPr>
        <w:t>2</w:t>
      </w:r>
    </w:p>
    <w:p>
      <w:pPr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sz w:val="24"/>
          <w:szCs w:val="24"/>
        </w:rPr>
        <w:drawing>
          <wp:inline distT="0" distB="0" distL="114300" distR="114300">
            <wp:extent cx="3557270" cy="3481705"/>
            <wp:effectExtent l="0" t="0" r="8890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r="8718" b="3281"/>
                    <a:stretch>
                      <a:fillRect/>
                    </a:stretch>
                  </pic:blipFill>
                  <pic:spPr>
                    <a:xfrm>
                      <a:off x="0" y="0"/>
                      <a:ext cx="3557270" cy="3481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2计算目标：</w:t>
      </w:r>
    </w:p>
    <w:p>
      <w:pP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《绿色建筑评价标椎》（2014-5.2.3条/2019-7.2.4条）：围护结构节能率</w:t>
      </w:r>
    </w:p>
    <w:p>
      <w:pP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结果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b w:val="0"/>
          <w:color w:val="FF0000"/>
          <w:sz w:val="24"/>
          <w:szCs w:val="24"/>
          <w:lang w:val="en-US" w:eastAsia="zh-CN"/>
        </w:rPr>
        <w:t>综合能耗=17.67Kwh/m</w:t>
      </w:r>
      <w:r>
        <w:rPr>
          <w:rFonts w:hint="eastAsia" w:ascii="Times New Roman" w:hAnsi="Times New Roman" w:eastAsia="宋体" w:cs="Times New Roman"/>
          <w:b w:val="0"/>
          <w:color w:val="FF0000"/>
          <w:sz w:val="24"/>
          <w:szCs w:val="24"/>
          <w:vertAlign w:val="superscript"/>
          <w:lang w:val="en-US" w:eastAsia="zh-CN"/>
        </w:rPr>
        <w:t>2</w:t>
      </w:r>
    </w:p>
    <w:p>
      <w:pPr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sz w:val="24"/>
          <w:szCs w:val="24"/>
        </w:rPr>
        <w:drawing>
          <wp:inline distT="0" distB="0" distL="114300" distR="114300">
            <wp:extent cx="4374515" cy="1599565"/>
            <wp:effectExtent l="0" t="0" r="14605" b="63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r="14016" b="57153"/>
                    <a:stretch>
                      <a:fillRect/>
                    </a:stretch>
                  </pic:blipFill>
                  <pic:spPr>
                    <a:xfrm>
                      <a:off x="0" y="0"/>
                      <a:ext cx="4374515" cy="1599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3计算目标：</w:t>
      </w:r>
    </w:p>
    <w:p>
      <w:pP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《绿色建筑评价标椎》（2019）7.2.8条：综合节能率</w:t>
      </w:r>
    </w:p>
    <w:p>
      <w:pPr>
        <w:rPr>
          <w:rFonts w:hint="eastAsia" w:ascii="Times New Roman" w:hAnsi="Times New Roman" w:eastAsia="宋体" w:cs="Times New Roman"/>
          <w:b w:val="0"/>
          <w:color w:val="FF0000"/>
          <w:sz w:val="24"/>
          <w:szCs w:val="24"/>
          <w:vertAlign w:val="superscript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结果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b w:val="0"/>
          <w:color w:val="FF0000"/>
          <w:sz w:val="24"/>
          <w:szCs w:val="24"/>
          <w:lang w:val="en-US" w:eastAsia="zh-CN"/>
        </w:rPr>
        <w:t>综合电耗=25.64Kwh/m</w:t>
      </w:r>
      <w:r>
        <w:rPr>
          <w:rFonts w:hint="eastAsia" w:ascii="Times New Roman" w:hAnsi="Times New Roman" w:eastAsia="宋体" w:cs="Times New Roman"/>
          <w:b w:val="0"/>
          <w:color w:val="FF0000"/>
          <w:sz w:val="24"/>
          <w:szCs w:val="24"/>
          <w:vertAlign w:val="superscript"/>
          <w:lang w:val="en-US" w:eastAsia="zh-CN"/>
        </w:rPr>
        <w:t>2</w:t>
      </w:r>
    </w:p>
    <w:p>
      <w:pPr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sz w:val="24"/>
          <w:szCs w:val="24"/>
        </w:rPr>
        <w:drawing>
          <wp:inline distT="0" distB="0" distL="114300" distR="114300">
            <wp:extent cx="3895725" cy="3639185"/>
            <wp:effectExtent l="0" t="0" r="5715" b="317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b="2051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639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宋体" w:cs="Times New Roman"/>
          <w:b w:val="0"/>
          <w:sz w:val="24"/>
          <w:szCs w:val="24"/>
        </w:rPr>
      </w:pPr>
    </w:p>
    <w:p>
      <w:pP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4计算目标：</w:t>
      </w:r>
    </w:p>
    <w:p>
      <w:pP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能效测评标识节能率</w:t>
      </w:r>
    </w:p>
    <w:p>
      <w:pPr>
        <w:rPr>
          <w:rFonts w:hint="eastAsia" w:ascii="Times New Roman" w:hAnsi="Times New Roman" w:eastAsia="宋体" w:cs="Times New Roman"/>
          <w:b w:val="0"/>
          <w:sz w:val="24"/>
          <w:szCs w:val="24"/>
          <w:vertAlign w:val="superscript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结果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b w:val="0"/>
          <w:color w:val="FF0000"/>
          <w:sz w:val="24"/>
          <w:szCs w:val="24"/>
          <w:lang w:val="en-US" w:eastAsia="zh-CN"/>
        </w:rPr>
        <w:t>综合电耗=24.81Kwh/m</w:t>
      </w:r>
      <w:r>
        <w:rPr>
          <w:rFonts w:hint="eastAsia" w:ascii="Times New Roman" w:hAnsi="Times New Roman" w:eastAsia="宋体" w:cs="Times New Roman"/>
          <w:b w:val="0"/>
          <w:color w:val="FF0000"/>
          <w:sz w:val="24"/>
          <w:szCs w:val="24"/>
          <w:vertAlign w:val="superscript"/>
          <w:lang w:val="en-US" w:eastAsia="zh-CN"/>
        </w:rPr>
        <w:t>2</w:t>
      </w:r>
    </w:p>
    <w:p>
      <w:pPr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sz w:val="24"/>
          <w:szCs w:val="24"/>
        </w:rPr>
        <w:drawing>
          <wp:inline distT="0" distB="0" distL="114300" distR="114300">
            <wp:extent cx="4378325" cy="3092450"/>
            <wp:effectExtent l="0" t="0" r="10795" b="127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8325" cy="309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宋体" w:cs="Times New Roman"/>
          <w:b w:val="0"/>
          <w:sz w:val="24"/>
          <w:szCs w:val="24"/>
        </w:rPr>
      </w:pPr>
    </w:p>
    <w:p>
      <w:pPr>
        <w:rPr>
          <w:rFonts w:ascii="Times New Roman" w:hAnsi="Times New Roman" w:eastAsia="宋体" w:cs="Times New Roman"/>
          <w:b w:val="0"/>
          <w:sz w:val="24"/>
          <w:szCs w:val="24"/>
        </w:rPr>
      </w:pPr>
    </w:p>
    <w:p>
      <w:pP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5计算目标：</w:t>
      </w:r>
    </w:p>
    <w:p>
      <w:pP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建筑全能耗</w:t>
      </w:r>
    </w:p>
    <w:p>
      <w:pPr>
        <w:rPr>
          <w:rFonts w:hint="eastAsia" w:ascii="Times New Roman" w:hAnsi="Times New Roman" w:eastAsia="宋体" w:cs="Times New Roman"/>
          <w:b w:val="0"/>
          <w:sz w:val="24"/>
          <w:szCs w:val="24"/>
          <w:vertAlign w:val="superscript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结果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b w:val="0"/>
          <w:color w:val="FF0000"/>
          <w:sz w:val="24"/>
          <w:szCs w:val="24"/>
          <w:lang w:val="en-US" w:eastAsia="zh-CN"/>
        </w:rPr>
        <w:t>建筑总能耗=49.71Kwh/m</w:t>
      </w:r>
      <w:r>
        <w:rPr>
          <w:rFonts w:hint="eastAsia" w:ascii="Times New Roman" w:hAnsi="Times New Roman" w:eastAsia="宋体" w:cs="Times New Roman"/>
          <w:b w:val="0"/>
          <w:color w:val="FF0000"/>
          <w:sz w:val="24"/>
          <w:szCs w:val="24"/>
          <w:vertAlign w:val="superscript"/>
          <w:lang w:val="en-US" w:eastAsia="zh-CN"/>
        </w:rPr>
        <w:t>2</w:t>
      </w:r>
    </w:p>
    <w:p>
      <w:pPr>
        <w:rPr>
          <w:rFonts w:hint="default" w:ascii="Times New Roman" w:hAnsi="Times New Roman" w:eastAsia="宋体" w:cs="Times New Roman"/>
          <w:b w:val="0"/>
          <w:sz w:val="24"/>
          <w:szCs w:val="24"/>
          <w:vertAlign w:val="superscript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  <w:vertAlign w:val="superscript"/>
          <w:lang w:val="en-US" w:eastAsia="zh-CN"/>
        </w:rPr>
        <w:drawing>
          <wp:inline distT="0" distB="0" distL="114300" distR="114300">
            <wp:extent cx="4107180" cy="3808730"/>
            <wp:effectExtent l="0" t="0" r="7620" b="1270"/>
            <wp:docPr id="10" name="图片 10" descr="ADV0J%1H}{86}(G)ONI}%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DV0J%1H}{86}(G)ONI}%7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380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采用光伏发电后</w:t>
      </w:r>
    </w:p>
    <w:p>
      <w:pPr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sz w:val="24"/>
          <w:szCs w:val="24"/>
        </w:rPr>
        <w:drawing>
          <wp:inline distT="0" distB="0" distL="114300" distR="114300">
            <wp:extent cx="3094355" cy="3599815"/>
            <wp:effectExtent l="0" t="0" r="14605" b="1206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4355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宋体" w:cs="Times New Roman"/>
          <w:b w:val="0"/>
          <w:sz w:val="24"/>
          <w:szCs w:val="24"/>
        </w:rPr>
      </w:pPr>
    </w:p>
    <w:p>
      <w:pP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通过在建筑屋顶处设置光伏板，进行光伏发电，供该建筑使用。此外，利用建筑区域有利环境，在建筑周边山体上设置风力发电，均采用可再生能源，符合双碳目标的发展要求，以此降低建筑能耗，达到零能耗的设计目标。</w:t>
      </w:r>
    </w:p>
    <w:p>
      <w:pP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NWU0YTQwNTBhOThjYjdiNWI0NGYyNWVlZWY0ZWMifQ=="/>
  </w:docVars>
  <w:rsids>
    <w:rsidRoot w:val="4D77028E"/>
    <w:rsid w:val="0D8F0DD2"/>
    <w:rsid w:val="0E2000ED"/>
    <w:rsid w:val="4D77028E"/>
    <w:rsid w:val="5E0E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391</Words>
  <Characters>491</Characters>
  <Lines>0</Lines>
  <Paragraphs>0</Paragraphs>
  <TotalTime>4</TotalTime>
  <ScaleCrop>false</ScaleCrop>
  <LinksUpToDate>false</LinksUpToDate>
  <CharactersWithSpaces>500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2022-12-24T09:51:00Z</dcterms:created>
  <dc:creator>Mr.J</dc:creator>
  <cp:lastModifiedBy>came森</cp:lastModifiedBy>
  <dcterms:modified xsi:type="dcterms:W3CDTF">2023-01-03T09:41:43Z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456FD9ECD6714084AE9BD85080A9A543</vt:lpwstr>
  </property>
</Properties>
</file>