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 w:eastAsia="zh-CN"/>
        </w:rPr>
        <w:t>规定性指标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恒氧·恒净— 后疫情时代校园建筑“智慧谷”零能耗设计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桂林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YBA50097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桂林电子科技大学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桂林电子科技大学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2022年12月27日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20210808(SP1)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T17807770696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_Toc18800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_Toc18800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_Toc21478 </w:instrText>
      </w:r>
      <w:r>
        <w:fldChar w:fldCharType="separate"/>
      </w:r>
      <w:r>
        <w:rPr>
          <w:rFonts w:hint="eastAsia"/>
        </w:rPr>
        <w:t xml:space="preserve">2 </w:t>
      </w:r>
      <w:r>
        <w:t>规定性指标</w:t>
      </w:r>
      <w:r>
        <w:tab/>
      </w:r>
      <w:r>
        <w:fldChar w:fldCharType="begin"/>
      </w:r>
      <w:r>
        <w:instrText xml:space="preserve"> PAGEREF _Toc21478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_Toc8499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t>底层通风架空率</w:t>
      </w:r>
      <w:r>
        <w:tab/>
      </w:r>
      <w:r>
        <w:fldChar w:fldCharType="begin"/>
      </w:r>
      <w:r>
        <w:instrText xml:space="preserve"> PAGEREF _Toc8499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_Toc9074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t>绿化遮阳体</w:t>
      </w:r>
      <w:r>
        <w:tab/>
      </w:r>
      <w:r>
        <w:fldChar w:fldCharType="begin"/>
      </w:r>
      <w:r>
        <w:instrText xml:space="preserve"> PAGEREF _Toc9074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_Toc3509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t>地面渗透蒸发</w:t>
      </w:r>
      <w:r>
        <w:tab/>
      </w:r>
      <w:r>
        <w:fldChar w:fldCharType="begin"/>
      </w:r>
      <w:r>
        <w:instrText xml:space="preserve"> PAGEREF _Toc3509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_Toc11673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t>屋面绿化</w:t>
      </w:r>
      <w:r>
        <w:tab/>
      </w:r>
      <w:r>
        <w:fldChar w:fldCharType="begin"/>
      </w:r>
      <w:r>
        <w:instrText xml:space="preserve"> PAGEREF _Toc11673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8800"/>
      <w:r>
        <w:rPr>
          <w:rFonts w:hint="eastAsia"/>
        </w:rPr>
        <w:t>住区概况</w:t>
      </w:r>
      <w:bookmarkEnd w:id="11"/>
    </w:p>
    <w:tbl>
      <w:tblPr>
        <w:tblStyle w:val="18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bookmarkStart w:id="12" w:name="工程名称1"/>
            <w:r>
              <w:rPr>
                <w:rFonts w:hint="default" w:ascii="Times New Roman" w:hAnsi="Times New Roman" w:cs="Times New Roman"/>
                <w:sz w:val="21"/>
                <w:szCs w:val="21"/>
              </w:rPr>
              <w:t>恒氧·恒净— 后疫情时代校园建筑“智慧谷”零能耗设计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bookmarkStart w:id="13" w:name="工程地点"/>
            <w:r>
              <w:rPr>
                <w:rFonts w:hint="default" w:ascii="Times New Roman" w:hAnsi="Times New Roman" w:cs="Times New Roman"/>
                <w:sz w:val="21"/>
                <w:szCs w:val="21"/>
              </w:rPr>
              <w:t>桂林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北纬：</w:t>
            </w:r>
            <w:bookmarkStart w:id="14" w:name="纬度"/>
            <w:r>
              <w:rPr>
                <w:rFonts w:hint="default" w:ascii="Times New Roman" w:hAnsi="Times New Roman" w:cs="Times New Roman"/>
                <w:sz w:val="21"/>
                <w:szCs w:val="21"/>
              </w:rPr>
              <w:t>25.33</w:t>
            </w:r>
            <w:bookmarkEnd w:id="14"/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东经：</w:t>
            </w:r>
            <w:bookmarkStart w:id="15" w:name="经度"/>
            <w:r>
              <w:rPr>
                <w:rFonts w:hint="default" w:ascii="Times New Roman" w:hAnsi="Times New Roman" w:cs="Times New Roman"/>
                <w:sz w:val="21"/>
                <w:szCs w:val="21"/>
              </w:rPr>
              <w:t>110.30</w:t>
            </w:r>
            <w:bookmarkEnd w:id="15"/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bookmarkStart w:id="16" w:name="气候区"/>
            <w:r>
              <w:rPr>
                <w:rFonts w:hint="default" w:ascii="Times New Roman" w:hAnsi="Times New Roman" w:cs="Times New Roman"/>
                <w:sz w:val="21"/>
                <w:szCs w:val="21"/>
              </w:rPr>
              <w:t>IIIB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bookmarkStart w:id="17" w:name="主导风向"/>
            <w:r>
              <w:rPr>
                <w:rFonts w:hint="default" w:ascii="Times New Roman" w:hAnsi="Times New Roman" w:cs="Times New Roman"/>
                <w:sz w:val="21"/>
                <w:szCs w:val="21"/>
              </w:rPr>
              <w:t>南</w:t>
            </w:r>
            <w:bookmarkEnd w:id="17"/>
          </w:p>
        </w:tc>
      </w:tr>
    </w:tbl>
    <w:p>
      <w:pPr>
        <w:pStyle w:val="5"/>
        <w:ind w:firstLine="420"/>
        <w:rPr>
          <w:lang w:val="en-US"/>
        </w:rPr>
      </w:pPr>
    </w:p>
    <w:p>
      <w:pPr>
        <w:pStyle w:val="5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5"/>
        <w:ind w:firstLine="420"/>
        <w:rPr>
          <w:lang w:val="en-US"/>
        </w:rPr>
      </w:pPr>
    </w:p>
    <w:p>
      <w:pPr>
        <w:pStyle w:val="5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8957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  <w:bidi w:val="0"/>
      </w:pPr>
      <w:bookmarkStart w:id="22" w:name="计算方法"/>
      <w:bookmarkEnd w:id="22"/>
      <w:bookmarkStart w:id="23" w:name="_Toc21478"/>
      <w:r>
        <w:t>规定性指标</w:t>
      </w:r>
      <w:bookmarkEnd w:id="23"/>
    </w:p>
    <w:p>
      <w:pPr>
        <w:pStyle w:val="3"/>
        <w:bidi w:val="0"/>
      </w:pPr>
      <w:bookmarkStart w:id="24" w:name="_Toc8499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662305</wp:posOffset>
            </wp:positionV>
            <wp:extent cx="5370830" cy="2120900"/>
            <wp:effectExtent l="0" t="0" r="127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底层通风架空率</w:t>
      </w:r>
      <w:bookmarkEnd w:id="24"/>
    </w:p>
    <w:p>
      <w:pPr>
        <w:pStyle w:val="3"/>
        <w:bidi w:val="0"/>
      </w:pPr>
      <w:bookmarkStart w:id="25" w:name="_Toc9074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2783840</wp:posOffset>
            </wp:positionV>
            <wp:extent cx="4692015" cy="2779395"/>
            <wp:effectExtent l="0" t="0" r="6985" b="190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201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绿化遮阳体</w:t>
      </w:r>
      <w:bookmarkEnd w:id="25"/>
    </w:p>
    <w:p>
      <w:r>
        <w:rPr>
          <w:sz w:val="24"/>
          <w:szCs w:val="24"/>
        </w:rPr>
        <w:br w:type="page"/>
      </w:r>
    </w:p>
    <w:p>
      <w:pPr>
        <w:pStyle w:val="3"/>
        <w:bidi w:val="0"/>
      </w:pPr>
      <w:bookmarkStart w:id="26" w:name="_Toc3509"/>
      <w:r>
        <w:t>地面渗透蒸发</w:t>
      </w:r>
      <w:bookmarkEnd w:id="26"/>
    </w:p>
    <w:p>
      <w:pPr>
        <w:pStyle w:val="3"/>
        <w:bidi w:val="0"/>
        <w:rPr>
          <w:lang w:val="en-US"/>
        </w:rPr>
      </w:pPr>
      <w:bookmarkStart w:id="27" w:name="_Toc11673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4218940</wp:posOffset>
            </wp:positionV>
            <wp:extent cx="5356860" cy="2189480"/>
            <wp:effectExtent l="0" t="0" r="2540" b="762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63500</wp:posOffset>
            </wp:positionV>
            <wp:extent cx="5400040" cy="3474085"/>
            <wp:effectExtent l="0" t="0" r="10160" b="571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屋面</w:t>
      </w:r>
      <w:bookmarkStart w:id="28" w:name="_GoBack"/>
      <w:bookmarkEnd w:id="28"/>
      <w:r>
        <w:t>绿化</w:t>
      </w:r>
      <w:bookmarkEnd w:id="27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WU0YTQwNTBhOThjYjdiNWI0NGYyNWVlZWY0ZWMifQ=="/>
  </w:docVars>
  <w:rsids>
    <w:rsidRoot w:val="007850D8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F23AD"/>
    <w:rsid w:val="000F7EF2"/>
    <w:rsid w:val="00107863"/>
    <w:rsid w:val="00116794"/>
    <w:rsid w:val="00122AE1"/>
    <w:rsid w:val="00135FAF"/>
    <w:rsid w:val="00141106"/>
    <w:rsid w:val="0014776A"/>
    <w:rsid w:val="001828F2"/>
    <w:rsid w:val="001B3169"/>
    <w:rsid w:val="001B7C87"/>
    <w:rsid w:val="001D6C1E"/>
    <w:rsid w:val="00203A7D"/>
    <w:rsid w:val="002209B4"/>
    <w:rsid w:val="00224284"/>
    <w:rsid w:val="00234F4A"/>
    <w:rsid w:val="0023730B"/>
    <w:rsid w:val="002555B8"/>
    <w:rsid w:val="00272BDC"/>
    <w:rsid w:val="00285189"/>
    <w:rsid w:val="002B2BB0"/>
    <w:rsid w:val="002B4464"/>
    <w:rsid w:val="002F0C69"/>
    <w:rsid w:val="002F1F5C"/>
    <w:rsid w:val="0030437C"/>
    <w:rsid w:val="00310258"/>
    <w:rsid w:val="003121F7"/>
    <w:rsid w:val="00314D29"/>
    <w:rsid w:val="003320D8"/>
    <w:rsid w:val="00346AFD"/>
    <w:rsid w:val="003553F6"/>
    <w:rsid w:val="003746AC"/>
    <w:rsid w:val="00384F21"/>
    <w:rsid w:val="003B0012"/>
    <w:rsid w:val="003C6997"/>
    <w:rsid w:val="003E4437"/>
    <w:rsid w:val="00417088"/>
    <w:rsid w:val="00463861"/>
    <w:rsid w:val="004654ED"/>
    <w:rsid w:val="00480784"/>
    <w:rsid w:val="00490A6C"/>
    <w:rsid w:val="00495F4C"/>
    <w:rsid w:val="004A29D4"/>
    <w:rsid w:val="004B7B12"/>
    <w:rsid w:val="004C4D23"/>
    <w:rsid w:val="004C69C1"/>
    <w:rsid w:val="004C79DA"/>
    <w:rsid w:val="004D230F"/>
    <w:rsid w:val="004D449D"/>
    <w:rsid w:val="004E2129"/>
    <w:rsid w:val="004F534A"/>
    <w:rsid w:val="004F694D"/>
    <w:rsid w:val="0050003A"/>
    <w:rsid w:val="00503750"/>
    <w:rsid w:val="005207E3"/>
    <w:rsid w:val="005215FB"/>
    <w:rsid w:val="00545FB7"/>
    <w:rsid w:val="00561C8F"/>
    <w:rsid w:val="005755BA"/>
    <w:rsid w:val="0057692D"/>
    <w:rsid w:val="005812C2"/>
    <w:rsid w:val="005C7162"/>
    <w:rsid w:val="005E7793"/>
    <w:rsid w:val="00613298"/>
    <w:rsid w:val="0061758E"/>
    <w:rsid w:val="006325E7"/>
    <w:rsid w:val="00634B5C"/>
    <w:rsid w:val="00645BD7"/>
    <w:rsid w:val="00651069"/>
    <w:rsid w:val="0067336D"/>
    <w:rsid w:val="00685427"/>
    <w:rsid w:val="0068672C"/>
    <w:rsid w:val="00694FCA"/>
    <w:rsid w:val="006A159C"/>
    <w:rsid w:val="006A38D1"/>
    <w:rsid w:val="006B5695"/>
    <w:rsid w:val="006C3941"/>
    <w:rsid w:val="0072017E"/>
    <w:rsid w:val="0072214C"/>
    <w:rsid w:val="007514FE"/>
    <w:rsid w:val="0076735C"/>
    <w:rsid w:val="00767D6D"/>
    <w:rsid w:val="00774599"/>
    <w:rsid w:val="007850D8"/>
    <w:rsid w:val="007D1A35"/>
    <w:rsid w:val="008329E7"/>
    <w:rsid w:val="00872A29"/>
    <w:rsid w:val="00883D6C"/>
    <w:rsid w:val="00886207"/>
    <w:rsid w:val="00897FCE"/>
    <w:rsid w:val="008B6B76"/>
    <w:rsid w:val="008E3905"/>
    <w:rsid w:val="008F4A97"/>
    <w:rsid w:val="009115AF"/>
    <w:rsid w:val="00917B5B"/>
    <w:rsid w:val="0092562F"/>
    <w:rsid w:val="00935D40"/>
    <w:rsid w:val="00940A35"/>
    <w:rsid w:val="009410A0"/>
    <w:rsid w:val="009744B2"/>
    <w:rsid w:val="00981F50"/>
    <w:rsid w:val="009B5732"/>
    <w:rsid w:val="009C3CAA"/>
    <w:rsid w:val="009C61AC"/>
    <w:rsid w:val="009D37B3"/>
    <w:rsid w:val="009D580B"/>
    <w:rsid w:val="009D7B62"/>
    <w:rsid w:val="009E4629"/>
    <w:rsid w:val="009E5E29"/>
    <w:rsid w:val="009F3F68"/>
    <w:rsid w:val="00A0719E"/>
    <w:rsid w:val="00A305A7"/>
    <w:rsid w:val="00A32590"/>
    <w:rsid w:val="00A355BD"/>
    <w:rsid w:val="00A402EA"/>
    <w:rsid w:val="00A53163"/>
    <w:rsid w:val="00A83D4E"/>
    <w:rsid w:val="00A914AE"/>
    <w:rsid w:val="00AA47FE"/>
    <w:rsid w:val="00AA5071"/>
    <w:rsid w:val="00AA7C65"/>
    <w:rsid w:val="00AB536D"/>
    <w:rsid w:val="00AC7EEF"/>
    <w:rsid w:val="00B047B3"/>
    <w:rsid w:val="00B107D2"/>
    <w:rsid w:val="00B16C0D"/>
    <w:rsid w:val="00B2695F"/>
    <w:rsid w:val="00B27B20"/>
    <w:rsid w:val="00B41640"/>
    <w:rsid w:val="00B4240C"/>
    <w:rsid w:val="00B55B22"/>
    <w:rsid w:val="00B60841"/>
    <w:rsid w:val="00B645C9"/>
    <w:rsid w:val="00B7457E"/>
    <w:rsid w:val="00BB1C06"/>
    <w:rsid w:val="00BD07CF"/>
    <w:rsid w:val="00BD4A14"/>
    <w:rsid w:val="00BE09CD"/>
    <w:rsid w:val="00BE4349"/>
    <w:rsid w:val="00C0203A"/>
    <w:rsid w:val="00C22E6B"/>
    <w:rsid w:val="00C3317F"/>
    <w:rsid w:val="00C63237"/>
    <w:rsid w:val="00C67778"/>
    <w:rsid w:val="00C81F61"/>
    <w:rsid w:val="00C95557"/>
    <w:rsid w:val="00C97E25"/>
    <w:rsid w:val="00CA1797"/>
    <w:rsid w:val="00CA1AA5"/>
    <w:rsid w:val="00CA311D"/>
    <w:rsid w:val="00CB5853"/>
    <w:rsid w:val="00CB7BEB"/>
    <w:rsid w:val="00CC50E4"/>
    <w:rsid w:val="00CE28AA"/>
    <w:rsid w:val="00CE3E52"/>
    <w:rsid w:val="00D40158"/>
    <w:rsid w:val="00D43C46"/>
    <w:rsid w:val="00D478B3"/>
    <w:rsid w:val="00D62A9A"/>
    <w:rsid w:val="00D96AE9"/>
    <w:rsid w:val="00DC73AD"/>
    <w:rsid w:val="00DD16C4"/>
    <w:rsid w:val="00DD42A2"/>
    <w:rsid w:val="00DF470C"/>
    <w:rsid w:val="00E05530"/>
    <w:rsid w:val="00E16221"/>
    <w:rsid w:val="00E423BB"/>
    <w:rsid w:val="00E4518A"/>
    <w:rsid w:val="00E72EFD"/>
    <w:rsid w:val="00E75AC2"/>
    <w:rsid w:val="00E76134"/>
    <w:rsid w:val="00E81ACD"/>
    <w:rsid w:val="00EA0210"/>
    <w:rsid w:val="00EA1164"/>
    <w:rsid w:val="00EA741A"/>
    <w:rsid w:val="00EB3EEF"/>
    <w:rsid w:val="00EC27FD"/>
    <w:rsid w:val="00EC70F3"/>
    <w:rsid w:val="00ED3418"/>
    <w:rsid w:val="00EE005A"/>
    <w:rsid w:val="00EF0674"/>
    <w:rsid w:val="00EF5872"/>
    <w:rsid w:val="00EF5DD5"/>
    <w:rsid w:val="00F03100"/>
    <w:rsid w:val="00F16AE6"/>
    <w:rsid w:val="00F312DB"/>
    <w:rsid w:val="00F423A9"/>
    <w:rsid w:val="00F4565A"/>
    <w:rsid w:val="00F57037"/>
    <w:rsid w:val="00F75DD1"/>
    <w:rsid w:val="00F90890"/>
    <w:rsid w:val="00FA4B87"/>
    <w:rsid w:val="00FA733F"/>
    <w:rsid w:val="00FC0388"/>
    <w:rsid w:val="00FF2243"/>
    <w:rsid w:val="00FF6C59"/>
    <w:rsid w:val="0FCE7338"/>
    <w:rsid w:val="41DB4811"/>
    <w:rsid w:val="594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eastAsia="黑体"/>
      <w:b/>
      <w:bCs/>
      <w:kern w:val="32"/>
      <w:sz w:val="28"/>
      <w:szCs w:val="28"/>
      <w:lang w:val="en-US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宋体" w:eastAsia="黑体" w:cs="Arial"/>
      <w:b/>
      <w:bCs/>
      <w:iCs/>
      <w:color w:val="000000"/>
      <w:sz w:val="24"/>
      <w:szCs w:val="24"/>
      <w:lang w:val="en-US"/>
    </w:rPr>
  </w:style>
  <w:style w:type="paragraph" w:styleId="4">
    <w:name w:val="heading 3"/>
    <w:next w:val="5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150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</Template>
  <Company>ths</Company>
  <Pages>6</Pages>
  <Words>278</Words>
  <Characters>344</Characters>
  <Lines>31</Lines>
  <Paragraphs>8</Paragraphs>
  <TotalTime>3</TotalTime>
  <ScaleCrop>false</ScaleCrop>
  <LinksUpToDate>false</LinksUpToDate>
  <CharactersWithSpaces>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2022-12-27T09:13:00Z</dcterms:created>
  <dc:creator>60150</dc:creator>
  <cp:lastModifiedBy>came森</cp:lastModifiedBy>
  <cp:lastPrinted>2411-12-31T16:00:00Z</cp:lastPrinted>
  <dcterms:modified xsi:type="dcterms:W3CDTF">2023-01-03T04:31:20Z</dcterms:modified>
  <dc:title>住区热岛强度报告书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5D3DAE8F071546E1A422D12EEF93763E</vt:lpwstr>
  </property>
</Properties>
</file>