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468D" w14:textId="50FB223C" w:rsidR="00E71FC4" w:rsidRPr="00A22524" w:rsidRDefault="00A27182" w:rsidP="00E71FC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</w:t>
      </w:r>
      <w:r w:rsidR="00750B7A">
        <w:rPr>
          <w:rFonts w:ascii="黑体" w:eastAsia="黑体" w:hAnsi="宋体" w:hint="eastAsia"/>
          <w:b/>
          <w:bCs/>
          <w:sz w:val="72"/>
          <w:szCs w:val="72"/>
        </w:rPr>
        <w:t>内噪声级</w:t>
      </w:r>
      <w:r>
        <w:rPr>
          <w:rFonts w:ascii="黑体" w:eastAsia="黑体" w:hAnsi="宋体" w:hint="eastAsia"/>
          <w:b/>
          <w:bCs/>
          <w:sz w:val="72"/>
          <w:szCs w:val="72"/>
        </w:rPr>
        <w:t>模拟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A5A2345" w14:textId="5ED5DBF5" w:rsidR="00BD39F3" w:rsidRPr="00E1340C" w:rsidRDefault="00BD39F3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tbl>
      <w:tblPr>
        <w:tblStyle w:val="a8"/>
        <w:tblpPr w:leftFromText="180" w:rightFromText="180" w:vertAnchor="text" w:horzAnchor="page" w:tblpX="2926" w:tblpY="-40"/>
        <w:tblW w:w="0" w:type="auto"/>
        <w:tblLook w:val="04A0" w:firstRow="1" w:lastRow="0" w:firstColumn="1" w:lastColumn="0" w:noHBand="0" w:noVBand="1"/>
      </w:tblPr>
      <w:tblGrid>
        <w:gridCol w:w="3314"/>
        <w:gridCol w:w="3314"/>
      </w:tblGrid>
      <w:tr w:rsidR="00E71FC4" w:rsidRPr="00E71FC4" w14:paraId="754C47C9" w14:textId="77777777" w:rsidTr="00E71FC4">
        <w:trPr>
          <w:trHeight w:val="281"/>
        </w:trPr>
        <w:tc>
          <w:tcPr>
            <w:tcW w:w="3314" w:type="dxa"/>
          </w:tcPr>
          <w:p w14:paraId="265C39F0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工程名称</w:t>
            </w:r>
          </w:p>
        </w:tc>
        <w:tc>
          <w:tcPr>
            <w:tcW w:w="3314" w:type="dxa"/>
          </w:tcPr>
          <w:p w14:paraId="3B277F52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艺术教育中心综合楼</w:t>
            </w:r>
          </w:p>
        </w:tc>
      </w:tr>
      <w:tr w:rsidR="00E71FC4" w:rsidRPr="00E71FC4" w14:paraId="24CD74D6" w14:textId="77777777" w:rsidTr="00E71FC4">
        <w:trPr>
          <w:trHeight w:val="269"/>
        </w:trPr>
        <w:tc>
          <w:tcPr>
            <w:tcW w:w="3314" w:type="dxa"/>
          </w:tcPr>
          <w:p w14:paraId="0A6AEE32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3314" w:type="dxa"/>
          </w:tcPr>
          <w:p w14:paraId="4340B786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江苏-南通</w:t>
            </w:r>
          </w:p>
        </w:tc>
      </w:tr>
      <w:tr w:rsidR="00E71FC4" w:rsidRPr="00E71FC4" w14:paraId="2F4281D1" w14:textId="77777777" w:rsidTr="00E71FC4">
        <w:trPr>
          <w:trHeight w:val="281"/>
        </w:trPr>
        <w:tc>
          <w:tcPr>
            <w:tcW w:w="3314" w:type="dxa"/>
          </w:tcPr>
          <w:p w14:paraId="7907F175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设计编号</w:t>
            </w:r>
          </w:p>
        </w:tc>
        <w:tc>
          <w:tcPr>
            <w:tcW w:w="3314" w:type="dxa"/>
          </w:tcPr>
          <w:p w14:paraId="40C70CCA" w14:textId="180D83A1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E71FC4" w:rsidRPr="00E71FC4" w14:paraId="10F4BD8F" w14:textId="77777777" w:rsidTr="00E71FC4">
        <w:trPr>
          <w:trHeight w:val="281"/>
        </w:trPr>
        <w:tc>
          <w:tcPr>
            <w:tcW w:w="3314" w:type="dxa"/>
          </w:tcPr>
          <w:p w14:paraId="257B0000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3314" w:type="dxa"/>
          </w:tcPr>
          <w:p w14:paraId="7ABBC801" w14:textId="597F6B56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E71FC4" w:rsidRPr="00E71FC4" w14:paraId="0D2E6E68" w14:textId="77777777" w:rsidTr="00E71FC4">
        <w:trPr>
          <w:trHeight w:val="269"/>
        </w:trPr>
        <w:tc>
          <w:tcPr>
            <w:tcW w:w="3314" w:type="dxa"/>
          </w:tcPr>
          <w:p w14:paraId="1818DFB5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3314" w:type="dxa"/>
          </w:tcPr>
          <w:p w14:paraId="0D4AE48B" w14:textId="0845B6C2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E71FC4" w:rsidRPr="00E71FC4" w14:paraId="757FA157" w14:textId="77777777" w:rsidTr="00E71FC4">
        <w:trPr>
          <w:trHeight w:val="281"/>
        </w:trPr>
        <w:tc>
          <w:tcPr>
            <w:tcW w:w="3314" w:type="dxa"/>
          </w:tcPr>
          <w:p w14:paraId="494E5151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设 计 人</w:t>
            </w:r>
          </w:p>
        </w:tc>
        <w:tc>
          <w:tcPr>
            <w:tcW w:w="3314" w:type="dxa"/>
          </w:tcPr>
          <w:p w14:paraId="5C92597B" w14:textId="6F4DDB70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E71FC4" w:rsidRPr="00E71FC4" w14:paraId="1A64D96F" w14:textId="77777777" w:rsidTr="00E71FC4">
        <w:trPr>
          <w:trHeight w:val="281"/>
        </w:trPr>
        <w:tc>
          <w:tcPr>
            <w:tcW w:w="3314" w:type="dxa"/>
          </w:tcPr>
          <w:p w14:paraId="3C5D88C2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校 对 人</w:t>
            </w:r>
          </w:p>
        </w:tc>
        <w:tc>
          <w:tcPr>
            <w:tcW w:w="3314" w:type="dxa"/>
          </w:tcPr>
          <w:p w14:paraId="6B544195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E71FC4" w:rsidRPr="00E71FC4" w14:paraId="7FA76993" w14:textId="77777777" w:rsidTr="00E71FC4">
        <w:trPr>
          <w:trHeight w:val="269"/>
        </w:trPr>
        <w:tc>
          <w:tcPr>
            <w:tcW w:w="3314" w:type="dxa"/>
          </w:tcPr>
          <w:p w14:paraId="29F624CF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审 核 人</w:t>
            </w:r>
          </w:p>
        </w:tc>
        <w:tc>
          <w:tcPr>
            <w:tcW w:w="3314" w:type="dxa"/>
          </w:tcPr>
          <w:p w14:paraId="62EED67D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E71FC4" w14:paraId="02113847" w14:textId="77777777" w:rsidTr="00E71FC4">
        <w:trPr>
          <w:trHeight w:val="281"/>
        </w:trPr>
        <w:tc>
          <w:tcPr>
            <w:tcW w:w="3314" w:type="dxa"/>
          </w:tcPr>
          <w:p w14:paraId="548A2962" w14:textId="77777777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设计日期</w:t>
            </w:r>
          </w:p>
        </w:tc>
        <w:tc>
          <w:tcPr>
            <w:tcW w:w="3314" w:type="dxa"/>
          </w:tcPr>
          <w:p w14:paraId="53626D8A" w14:textId="4EC1609A" w:rsidR="00E71FC4" w:rsidRPr="00CA18B3" w:rsidRDefault="00E71FC4" w:rsidP="00E71FC4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2022年</w:t>
            </w:r>
            <w:r w:rsidR="00CA18B3">
              <w:rPr>
                <w:rFonts w:ascii="宋体" w:hAnsi="宋体" w:hint="eastAsia"/>
                <w:sz w:val="24"/>
                <w:szCs w:val="24"/>
                <w:lang w:val="en-US"/>
              </w:rPr>
              <w:t>1</w:t>
            </w:r>
            <w:r w:rsidR="00CA18B3">
              <w:rPr>
                <w:rFonts w:ascii="宋体" w:hAnsi="宋体"/>
                <w:sz w:val="24"/>
                <w:szCs w:val="24"/>
                <w:lang w:val="en-US"/>
              </w:rPr>
              <w:t>2</w:t>
            </w: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月</w:t>
            </w:r>
            <w:r w:rsidR="00CA18B3">
              <w:rPr>
                <w:rFonts w:ascii="宋体" w:hAnsi="宋体" w:hint="eastAsia"/>
                <w:sz w:val="24"/>
                <w:szCs w:val="24"/>
                <w:lang w:val="en-US"/>
              </w:rPr>
              <w:t>3</w:t>
            </w:r>
            <w:r w:rsidR="00CA18B3">
              <w:rPr>
                <w:rFonts w:ascii="宋体" w:hAnsi="宋体"/>
                <w:sz w:val="24"/>
                <w:szCs w:val="24"/>
                <w:lang w:val="en-US"/>
              </w:rPr>
              <w:t>0</w:t>
            </w:r>
            <w:r w:rsidRPr="00CA18B3">
              <w:rPr>
                <w:rFonts w:ascii="宋体" w:hAnsi="宋体" w:hint="eastAsia"/>
                <w:sz w:val="24"/>
                <w:szCs w:val="24"/>
                <w:lang w:val="en-US"/>
              </w:rPr>
              <w:t>日</w:t>
            </w:r>
          </w:p>
        </w:tc>
      </w:tr>
    </w:tbl>
    <w:p w14:paraId="5D544F86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67B9E27" w14:textId="4C1240B8" w:rsidR="00D40158" w:rsidRDefault="00D40158" w:rsidP="00E71FC4">
      <w:pPr>
        <w:jc w:val="center"/>
        <w:rPr>
          <w:rFonts w:ascii="宋体" w:hAnsi="宋体"/>
          <w:lang w:val="en-US"/>
        </w:rPr>
      </w:pPr>
    </w:p>
    <w:p w14:paraId="6405F125" w14:textId="77777777" w:rsidR="00CA18B3" w:rsidRDefault="00D40158" w:rsidP="00CA18B3">
      <w:pPr>
        <w:spacing w:line="1000" w:lineRule="exact"/>
      </w:pPr>
      <w:r>
        <w:rPr>
          <w:rFonts w:ascii="宋体" w:hAnsi="宋体"/>
          <w:b/>
          <w:bCs/>
          <w:sz w:val="32"/>
          <w:szCs w:val="32"/>
        </w:rPr>
        <w:br w:type="page"/>
      </w:r>
    </w:p>
    <w:sdt>
      <w:sdtPr>
        <w:rPr>
          <w:rFonts w:ascii="Times New Roman" w:eastAsia="宋体" w:hAnsi="Times New Roman" w:cs="Times New Roman"/>
          <w:b/>
          <w:bCs/>
          <w:noProof/>
          <w:color w:val="auto"/>
          <w:kern w:val="2"/>
          <w:sz w:val="21"/>
          <w:szCs w:val="24"/>
        </w:rPr>
        <w:id w:val="458694317"/>
        <w:docPartObj>
          <w:docPartGallery w:val="Table of Contents"/>
          <w:docPartUnique/>
        </w:docPartObj>
      </w:sdtPr>
      <w:sdtEndPr>
        <w:rPr>
          <w:lang w:val="zh-CN"/>
        </w:rPr>
      </w:sdtEndPr>
      <w:sdtContent>
        <w:p w14:paraId="530116D8" w14:textId="70D67173" w:rsidR="00CA18B3" w:rsidRPr="00CA18B3" w:rsidRDefault="00CA18B3" w:rsidP="00CA18B3">
          <w:pPr>
            <w:pStyle w:val="TOC"/>
            <w:jc w:val="center"/>
            <w:rPr>
              <w:sz w:val="44"/>
              <w:szCs w:val="44"/>
            </w:rPr>
          </w:pPr>
          <w:r w:rsidRPr="00CA18B3">
            <w:rPr>
              <w:sz w:val="44"/>
              <w:szCs w:val="44"/>
            </w:rPr>
            <w:t>目录</w:t>
          </w:r>
        </w:p>
        <w:p w14:paraId="6BD646B7" w14:textId="72ACBC94" w:rsidR="00CA18B3" w:rsidRPr="00272A24" w:rsidRDefault="00CA18B3">
          <w:pPr>
            <w:pStyle w:val="TOC1"/>
            <w:rPr>
              <w:rFonts w:ascii="宋体" w:hAnsi="宋体"/>
            </w:rPr>
          </w:pPr>
          <w:r w:rsidRPr="00272A24">
            <w:rPr>
              <w:rFonts w:ascii="宋体" w:hAnsi="宋体"/>
            </w:rPr>
            <w:t>1.</w:t>
          </w:r>
          <w:r w:rsidRPr="00272A24">
            <w:rPr>
              <w:rFonts w:ascii="宋体" w:hAnsi="宋体" w:hint="eastAsia"/>
            </w:rPr>
            <w:t>建筑概况</w:t>
          </w:r>
          <w:r w:rsidRPr="00272A24">
            <w:rPr>
              <w:rFonts w:ascii="宋体" w:hAnsi="宋体"/>
            </w:rPr>
            <w:ptab w:relativeTo="margin" w:alignment="right" w:leader="dot"/>
          </w:r>
          <w:r w:rsidR="00272A24">
            <w:rPr>
              <w:rFonts w:ascii="宋体" w:hAnsi="宋体"/>
              <w:lang w:val="zh-CN"/>
            </w:rPr>
            <w:t>3</w:t>
          </w:r>
        </w:p>
        <w:p w14:paraId="1663CA0D" w14:textId="02C57FD9" w:rsidR="00CA18B3" w:rsidRPr="00272A24" w:rsidRDefault="00CA18B3">
          <w:pPr>
            <w:pStyle w:val="TOC2"/>
            <w:ind w:left="216"/>
            <w:rPr>
              <w:rFonts w:ascii="宋体" w:hAnsi="宋体"/>
            </w:rPr>
          </w:pPr>
          <w:bookmarkStart w:id="0" w:name="_Hlk123375971"/>
          <w:r w:rsidRPr="00272A24">
            <w:rPr>
              <w:rFonts w:ascii="宋体" w:hAnsi="宋体"/>
            </w:rPr>
            <w:t>1.1</w:t>
          </w:r>
          <w:r w:rsidRPr="00272A24">
            <w:rPr>
              <w:rFonts w:ascii="宋体" w:hAnsi="宋体" w:hint="eastAsia"/>
            </w:rPr>
            <w:t>建筑基本信息</w:t>
          </w:r>
          <w:r w:rsidRPr="00272A24">
            <w:rPr>
              <w:rFonts w:ascii="宋体" w:hAnsi="宋体"/>
            </w:rPr>
            <w:ptab w:relativeTo="margin" w:alignment="right" w:leader="dot"/>
          </w:r>
          <w:r w:rsidR="00272A24">
            <w:rPr>
              <w:rFonts w:ascii="宋体" w:hAnsi="宋体"/>
              <w:lang w:val="zh-CN"/>
            </w:rPr>
            <w:t>3</w:t>
          </w:r>
        </w:p>
        <w:bookmarkEnd w:id="0"/>
        <w:p w14:paraId="0D4B1A09" w14:textId="6B8A6FD0" w:rsidR="00CA18B3" w:rsidRPr="00272A24" w:rsidRDefault="00CA18B3" w:rsidP="00CA18B3">
          <w:pPr>
            <w:pStyle w:val="TOC3"/>
            <w:ind w:firstLineChars="0" w:firstLine="0"/>
            <w:rPr>
              <w:rFonts w:ascii="宋体" w:hAnsi="宋体"/>
            </w:rPr>
          </w:pPr>
          <w:r w:rsidRPr="00272A24">
            <w:rPr>
              <w:rFonts w:ascii="宋体" w:hAnsi="宋体"/>
            </w:rPr>
            <w:t>1.2</w:t>
          </w:r>
          <w:r w:rsidRPr="00272A24">
            <w:rPr>
              <w:rFonts w:ascii="宋体" w:hAnsi="宋体" w:hint="eastAsia"/>
            </w:rPr>
            <w:t>三维</w:t>
          </w:r>
          <w:r w:rsidR="00272A24" w:rsidRPr="00272A24">
            <w:rPr>
              <w:rFonts w:ascii="宋体" w:hAnsi="宋体" w:hint="eastAsia"/>
            </w:rPr>
            <w:t>模型图</w:t>
          </w:r>
          <w:r w:rsidRPr="00272A24">
            <w:rPr>
              <w:rFonts w:ascii="宋体" w:hAnsi="宋体"/>
            </w:rPr>
            <w:ptab w:relativeTo="margin" w:alignment="right" w:leader="dot"/>
          </w:r>
          <w:r w:rsidR="00272A24">
            <w:rPr>
              <w:rFonts w:ascii="宋体" w:hAnsi="宋体"/>
              <w:lang w:val="zh-CN"/>
            </w:rPr>
            <w:t>3</w:t>
          </w:r>
        </w:p>
        <w:p w14:paraId="15327F6C" w14:textId="7C9AFE30" w:rsidR="00CA18B3" w:rsidRPr="00272A24" w:rsidRDefault="00272A24">
          <w:pPr>
            <w:pStyle w:val="TOC1"/>
            <w:rPr>
              <w:rFonts w:ascii="宋体" w:hAnsi="宋体"/>
            </w:rPr>
          </w:pPr>
          <w:r w:rsidRPr="00272A24">
            <w:rPr>
              <w:rFonts w:ascii="宋体" w:hAnsi="宋体"/>
            </w:rPr>
            <w:t>2.</w:t>
          </w:r>
          <w:r w:rsidRPr="00272A24">
            <w:rPr>
              <w:rFonts w:ascii="宋体" w:hAnsi="宋体" w:hint="eastAsia"/>
            </w:rPr>
            <w:t>分析依据</w:t>
          </w:r>
          <w:r w:rsidR="00CA18B3" w:rsidRPr="00272A24">
            <w:rPr>
              <w:rFonts w:ascii="宋体" w:hAnsi="宋体"/>
            </w:rPr>
            <w:ptab w:relativeTo="margin" w:alignment="right" w:leader="dot"/>
          </w:r>
          <w:r>
            <w:rPr>
              <w:rFonts w:ascii="宋体" w:hAnsi="宋体"/>
              <w:lang w:val="zh-CN"/>
            </w:rPr>
            <w:t>3</w:t>
          </w:r>
        </w:p>
        <w:p w14:paraId="4D4F15E5" w14:textId="3709B41D" w:rsidR="00CA18B3" w:rsidRPr="00272A24" w:rsidRDefault="00272A24">
          <w:pPr>
            <w:pStyle w:val="TOC2"/>
            <w:ind w:left="216"/>
            <w:rPr>
              <w:rFonts w:ascii="宋体" w:hAnsi="宋体"/>
            </w:rPr>
          </w:pPr>
          <w:r w:rsidRPr="00272A24">
            <w:rPr>
              <w:rFonts w:ascii="宋体" w:hAnsi="宋体"/>
            </w:rPr>
            <w:t>2.1</w:t>
          </w:r>
          <w:r w:rsidRPr="00272A24">
            <w:rPr>
              <w:rFonts w:ascii="宋体" w:hAnsi="宋体" w:hint="eastAsia"/>
            </w:rPr>
            <w:t>评价依据</w:t>
          </w:r>
          <w:r w:rsidR="00CA18B3" w:rsidRPr="00272A24">
            <w:rPr>
              <w:rFonts w:ascii="宋体" w:hAnsi="宋体"/>
            </w:rPr>
            <w:ptab w:relativeTo="margin" w:alignment="right" w:leader="dot"/>
          </w:r>
          <w:r>
            <w:rPr>
              <w:rFonts w:ascii="宋体" w:hAnsi="宋体"/>
              <w:lang w:val="zh-CN"/>
            </w:rPr>
            <w:t>3</w:t>
          </w:r>
        </w:p>
        <w:p w14:paraId="3DA54F02" w14:textId="2B2048D9" w:rsidR="00272A24" w:rsidRPr="00272A24" w:rsidRDefault="00272A24" w:rsidP="00272A24">
          <w:pPr>
            <w:pStyle w:val="TOC3"/>
            <w:ind w:left="0"/>
            <w:rPr>
              <w:rFonts w:ascii="宋体" w:hAnsi="宋体"/>
              <w:lang w:val="zh-CN"/>
            </w:rPr>
          </w:pPr>
          <w:r w:rsidRPr="00272A24">
            <w:rPr>
              <w:rFonts w:ascii="宋体" w:hAnsi="宋体"/>
            </w:rPr>
            <w:t>2.1</w:t>
          </w:r>
          <w:r w:rsidRPr="00272A24">
            <w:rPr>
              <w:rFonts w:ascii="宋体" w:hAnsi="宋体" w:hint="eastAsia"/>
            </w:rPr>
            <w:t>标准要求</w:t>
          </w:r>
          <w:r w:rsidRPr="00272A24">
            <w:rPr>
              <w:rFonts w:ascii="宋体" w:hAnsi="宋体"/>
            </w:rPr>
            <w:ptab w:relativeTo="margin" w:alignment="right" w:leader="dot"/>
          </w:r>
          <w:r>
            <w:rPr>
              <w:rFonts w:ascii="宋体" w:hAnsi="宋体"/>
              <w:lang w:val="zh-CN"/>
            </w:rPr>
            <w:t>4</w:t>
          </w:r>
        </w:p>
        <w:p w14:paraId="72E14E6C" w14:textId="3BFA78A5" w:rsidR="00272A24" w:rsidRPr="00272A24" w:rsidRDefault="00272A24" w:rsidP="00272A24">
          <w:pPr>
            <w:pStyle w:val="TOC1"/>
            <w:rPr>
              <w:rFonts w:ascii="宋体" w:hAnsi="宋体"/>
            </w:rPr>
          </w:pPr>
          <w:r w:rsidRPr="00272A24">
            <w:rPr>
              <w:rFonts w:ascii="宋体" w:hAnsi="宋体"/>
            </w:rPr>
            <w:t>3.</w:t>
          </w:r>
          <w:r w:rsidRPr="00272A24">
            <w:rPr>
              <w:rFonts w:ascii="宋体" w:hAnsi="宋体" w:hint="eastAsia"/>
            </w:rPr>
            <w:t>结果分析</w:t>
          </w:r>
          <w:r w:rsidRPr="00272A24">
            <w:rPr>
              <w:rFonts w:ascii="宋体" w:hAnsi="宋体"/>
            </w:rPr>
            <w:ptab w:relativeTo="margin" w:alignment="right" w:leader="dot"/>
          </w:r>
          <w:r w:rsidRPr="00272A24">
            <w:rPr>
              <w:rFonts w:ascii="宋体" w:hAnsi="宋体"/>
              <w:lang w:val="zh-CN"/>
            </w:rPr>
            <w:t>4</w:t>
          </w:r>
        </w:p>
        <w:p w14:paraId="729FBC47" w14:textId="1FB1AAAF" w:rsidR="00272A24" w:rsidRPr="00272A24" w:rsidRDefault="00272A24" w:rsidP="00272A24">
          <w:pPr>
            <w:pStyle w:val="TOC2"/>
            <w:ind w:left="216"/>
            <w:rPr>
              <w:rFonts w:ascii="宋体" w:hAnsi="宋体"/>
            </w:rPr>
          </w:pPr>
          <w:r w:rsidRPr="00272A24">
            <w:rPr>
              <w:rFonts w:ascii="宋体" w:hAnsi="宋体"/>
            </w:rPr>
            <w:t>3.1</w:t>
          </w:r>
          <w:r w:rsidRPr="00272A24">
            <w:rPr>
              <w:rFonts w:ascii="宋体" w:hAnsi="宋体" w:hint="eastAsia"/>
            </w:rPr>
            <w:t>室内噪声分析评价得分</w:t>
          </w:r>
          <w:r w:rsidRPr="00272A24">
            <w:rPr>
              <w:rFonts w:ascii="宋体" w:hAnsi="宋体"/>
            </w:rPr>
            <w:ptab w:relativeTo="margin" w:alignment="right" w:leader="dot"/>
          </w:r>
          <w:r>
            <w:rPr>
              <w:rFonts w:ascii="宋体" w:hAnsi="宋体"/>
              <w:lang w:val="zh-CN"/>
            </w:rPr>
            <w:t>4</w:t>
          </w:r>
        </w:p>
        <w:p w14:paraId="21BCAECE" w14:textId="26AE45DD" w:rsidR="00272A24" w:rsidRPr="00272A24" w:rsidRDefault="00272A24" w:rsidP="00272A24">
          <w:pPr>
            <w:pStyle w:val="TOC2"/>
            <w:ind w:left="216"/>
            <w:rPr>
              <w:rFonts w:ascii="宋体" w:hAnsi="宋体"/>
            </w:rPr>
          </w:pPr>
          <w:r w:rsidRPr="00272A24">
            <w:rPr>
              <w:rFonts w:ascii="宋体" w:hAnsi="宋体" w:hint="eastAsia"/>
            </w:rPr>
            <w:t>3.2室内噪声级分析</w:t>
          </w:r>
          <w:r w:rsidRPr="00272A24">
            <w:rPr>
              <w:rFonts w:ascii="宋体" w:hAnsi="宋体"/>
            </w:rPr>
            <w:ptab w:relativeTo="margin" w:alignment="right" w:leader="dot"/>
          </w:r>
          <w:r>
            <w:rPr>
              <w:rFonts w:ascii="宋体" w:hAnsi="宋体"/>
              <w:lang w:val="zh-CN"/>
            </w:rPr>
            <w:t>4</w:t>
          </w:r>
        </w:p>
        <w:p w14:paraId="6E07CCDA" w14:textId="4F79AC62" w:rsidR="00CA18B3" w:rsidRPr="00272A24" w:rsidRDefault="00272A24" w:rsidP="00272A24">
          <w:pPr>
            <w:pStyle w:val="TOC1"/>
          </w:pPr>
          <w:r w:rsidRPr="00272A24">
            <w:rPr>
              <w:rFonts w:ascii="宋体" w:hAnsi="宋体"/>
            </w:rPr>
            <w:t>4.</w:t>
          </w:r>
          <w:r w:rsidRPr="00272A24">
            <w:rPr>
              <w:rFonts w:ascii="宋体" w:hAnsi="宋体" w:hint="eastAsia"/>
            </w:rPr>
            <w:t>结论</w:t>
          </w:r>
          <w:r>
            <w:ptab w:relativeTo="margin" w:alignment="right" w:leader="dot"/>
          </w:r>
          <w:r>
            <w:rPr>
              <w:lang w:val="zh-CN"/>
            </w:rPr>
            <w:t>5</w:t>
          </w:r>
        </w:p>
      </w:sdtContent>
    </w:sdt>
    <w:p w14:paraId="34903BD8" w14:textId="5C341173" w:rsidR="00272A24" w:rsidRDefault="00272A24" w:rsidP="00CA18B3">
      <w:pPr>
        <w:spacing w:line="1000" w:lineRule="exact"/>
        <w:sectPr w:rsidR="00272A24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367789D" w14:textId="556B5F00" w:rsidR="00D40158" w:rsidRPr="00CA18B3" w:rsidRDefault="00CA18B3" w:rsidP="00CA18B3">
      <w:pPr>
        <w:pStyle w:val="1"/>
      </w:pPr>
      <w:r w:rsidRPr="00CA18B3">
        <w:rPr>
          <w:rFonts w:hint="eastAsia"/>
        </w:rPr>
        <w:lastRenderedPageBreak/>
        <w:t>1</w:t>
      </w:r>
      <w:r w:rsidRPr="00CA18B3">
        <w:t>.</w:t>
      </w:r>
      <w:r w:rsidRPr="00CA18B3">
        <w:rPr>
          <w:rFonts w:hint="eastAsia"/>
        </w:rPr>
        <w:t>建筑概况</w:t>
      </w:r>
    </w:p>
    <w:p w14:paraId="1BCF6329" w14:textId="77777777" w:rsidR="00477C6F" w:rsidRPr="00CA18B3" w:rsidRDefault="00477C6F" w:rsidP="00CA18B3">
      <w:pPr>
        <w:tabs>
          <w:tab w:val="left" w:pos="1116"/>
        </w:tabs>
        <w:rPr>
          <w:rFonts w:ascii="宋体" w:hAnsi="宋体"/>
          <w:b/>
          <w:bCs/>
          <w:sz w:val="24"/>
          <w:szCs w:val="24"/>
        </w:rPr>
      </w:pPr>
      <w:r w:rsidRPr="00CA18B3">
        <w:rPr>
          <w:rFonts w:ascii="宋体" w:hAnsi="宋体" w:hint="eastAsia"/>
          <w:b/>
          <w:bCs/>
          <w:sz w:val="24"/>
          <w:szCs w:val="24"/>
        </w:rPr>
        <w:t>1</w:t>
      </w:r>
      <w:r w:rsidRPr="00CA18B3">
        <w:rPr>
          <w:rFonts w:ascii="宋体" w:hAnsi="宋体"/>
          <w:b/>
          <w:bCs/>
          <w:sz w:val="24"/>
          <w:szCs w:val="24"/>
        </w:rPr>
        <w:t>.1</w:t>
      </w:r>
      <w:r w:rsidRPr="00CA18B3">
        <w:rPr>
          <w:rFonts w:ascii="宋体" w:hAnsi="宋体" w:hint="eastAsia"/>
          <w:b/>
          <w:bCs/>
          <w:sz w:val="24"/>
          <w:szCs w:val="24"/>
        </w:rPr>
        <w:t>建筑基本信息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77C6F" w:rsidRPr="00CA18B3" w14:paraId="75DB6047" w14:textId="77777777" w:rsidTr="002A41D7">
        <w:tc>
          <w:tcPr>
            <w:tcW w:w="2074" w:type="dxa"/>
          </w:tcPr>
          <w:p w14:paraId="7E1BEE76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建筑名称</w:t>
            </w:r>
          </w:p>
        </w:tc>
        <w:tc>
          <w:tcPr>
            <w:tcW w:w="2074" w:type="dxa"/>
          </w:tcPr>
          <w:p w14:paraId="10982B84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艺术中心综合楼</w:t>
            </w:r>
          </w:p>
        </w:tc>
        <w:tc>
          <w:tcPr>
            <w:tcW w:w="2074" w:type="dxa"/>
          </w:tcPr>
          <w:p w14:paraId="38CA2A2A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地理位置</w:t>
            </w:r>
          </w:p>
        </w:tc>
        <w:tc>
          <w:tcPr>
            <w:tcW w:w="2074" w:type="dxa"/>
          </w:tcPr>
          <w:p w14:paraId="3EC0647A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江苏南通</w:t>
            </w:r>
          </w:p>
        </w:tc>
      </w:tr>
      <w:tr w:rsidR="00477C6F" w:rsidRPr="00CA18B3" w14:paraId="3D672E94" w14:textId="77777777" w:rsidTr="002A41D7">
        <w:tc>
          <w:tcPr>
            <w:tcW w:w="2074" w:type="dxa"/>
          </w:tcPr>
          <w:p w14:paraId="7C097A54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建筑面积</w:t>
            </w:r>
          </w:p>
        </w:tc>
        <w:tc>
          <w:tcPr>
            <w:tcW w:w="2074" w:type="dxa"/>
          </w:tcPr>
          <w:p w14:paraId="12A6D025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6</w:t>
            </w:r>
            <w:r w:rsidRPr="00CA18B3">
              <w:rPr>
                <w:rFonts w:ascii="宋体" w:hAnsi="宋体"/>
                <w:sz w:val="24"/>
                <w:szCs w:val="24"/>
              </w:rPr>
              <w:t>339.39m2</w:t>
            </w:r>
          </w:p>
        </w:tc>
        <w:tc>
          <w:tcPr>
            <w:tcW w:w="2074" w:type="dxa"/>
          </w:tcPr>
          <w:p w14:paraId="248BD703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建筑高度</w:t>
            </w:r>
          </w:p>
        </w:tc>
        <w:tc>
          <w:tcPr>
            <w:tcW w:w="2074" w:type="dxa"/>
          </w:tcPr>
          <w:p w14:paraId="23C45114" w14:textId="77777777" w:rsidR="00477C6F" w:rsidRPr="00CA18B3" w:rsidRDefault="00477C6F" w:rsidP="002A41D7">
            <w:pPr>
              <w:rPr>
                <w:rFonts w:ascii="宋体" w:hAnsi="宋体"/>
                <w:sz w:val="24"/>
                <w:szCs w:val="24"/>
              </w:rPr>
            </w:pPr>
            <w:r w:rsidRPr="00CA18B3">
              <w:rPr>
                <w:rFonts w:ascii="宋体" w:hAnsi="宋体" w:hint="eastAsia"/>
                <w:sz w:val="24"/>
                <w:szCs w:val="24"/>
              </w:rPr>
              <w:t>2</w:t>
            </w:r>
            <w:r w:rsidRPr="00CA18B3">
              <w:rPr>
                <w:rFonts w:ascii="宋体" w:hAnsi="宋体"/>
                <w:sz w:val="24"/>
                <w:szCs w:val="24"/>
              </w:rPr>
              <w:t>0.7m</w:t>
            </w:r>
          </w:p>
        </w:tc>
      </w:tr>
    </w:tbl>
    <w:p w14:paraId="575EBD2C" w14:textId="374061C0" w:rsidR="001B2005" w:rsidRPr="00CA18B3" w:rsidRDefault="001B2005" w:rsidP="00CA18B3">
      <w:pPr>
        <w:pStyle w:val="a0"/>
        <w:ind w:firstLineChars="0" w:firstLine="0"/>
        <w:rPr>
          <w:rFonts w:ascii="宋体" w:hAnsi="宋体"/>
          <w:b/>
          <w:bCs/>
          <w:sz w:val="24"/>
          <w:szCs w:val="24"/>
          <w:lang w:val="en-US"/>
        </w:rPr>
      </w:pPr>
      <w:r w:rsidRPr="00CA18B3">
        <w:rPr>
          <w:rFonts w:ascii="宋体" w:hAnsi="宋体" w:hint="eastAsia"/>
          <w:b/>
          <w:bCs/>
          <w:sz w:val="24"/>
          <w:szCs w:val="24"/>
          <w:lang w:val="en-US"/>
        </w:rPr>
        <w:t>1</w:t>
      </w:r>
      <w:r w:rsidRPr="00CA18B3">
        <w:rPr>
          <w:rFonts w:ascii="宋体" w:hAnsi="宋体"/>
          <w:b/>
          <w:bCs/>
          <w:sz w:val="24"/>
          <w:szCs w:val="24"/>
          <w:lang w:val="en-US"/>
        </w:rPr>
        <w:t>.2</w:t>
      </w:r>
      <w:r w:rsidRPr="00CA18B3">
        <w:rPr>
          <w:rFonts w:ascii="宋体" w:hAnsi="宋体" w:hint="eastAsia"/>
          <w:b/>
          <w:bCs/>
          <w:sz w:val="24"/>
          <w:szCs w:val="24"/>
          <w:lang w:val="en-US"/>
        </w:rPr>
        <w:t>三维</w:t>
      </w:r>
      <w:r w:rsidR="00EC2A75" w:rsidRPr="00CA18B3">
        <w:rPr>
          <w:rFonts w:ascii="宋体" w:hAnsi="宋体" w:hint="eastAsia"/>
          <w:b/>
          <w:bCs/>
          <w:sz w:val="24"/>
          <w:szCs w:val="24"/>
          <w:lang w:val="en-US"/>
        </w:rPr>
        <w:t>模型图</w:t>
      </w:r>
    </w:p>
    <w:p w14:paraId="1F4E09D3" w14:textId="697D9656" w:rsidR="001B2005" w:rsidRPr="00F0368D" w:rsidRDefault="00F43EC9" w:rsidP="00F0368D">
      <w:pPr>
        <w:pStyle w:val="a0"/>
        <w:ind w:firstLine="4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E7888EF" wp14:editId="77136E45">
            <wp:extent cx="5364158" cy="3152775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53" cy="315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Toc105666801"/>
    </w:p>
    <w:p w14:paraId="515F7BFE" w14:textId="637BB02D" w:rsidR="00E902C1" w:rsidRDefault="00CA18B3" w:rsidP="00CA18B3">
      <w:pPr>
        <w:pStyle w:val="a0"/>
        <w:ind w:firstLineChars="71"/>
        <w:rPr>
          <w:rFonts w:ascii="宋体" w:hAnsi="宋体"/>
          <w:b/>
          <w:bCs/>
          <w:sz w:val="28"/>
          <w:szCs w:val="28"/>
          <w:lang w:val="en-US"/>
        </w:rPr>
      </w:pPr>
      <w:r w:rsidRPr="00CA18B3">
        <w:rPr>
          <w:rFonts w:ascii="宋体" w:hAnsi="宋体"/>
          <w:b/>
          <w:bCs/>
          <w:sz w:val="28"/>
          <w:szCs w:val="28"/>
          <w:lang w:val="en-US"/>
        </w:rPr>
        <w:t>2.</w:t>
      </w:r>
      <w:r w:rsidR="00272A24">
        <w:rPr>
          <w:rFonts w:ascii="宋体" w:hAnsi="宋体" w:hint="eastAsia"/>
          <w:b/>
          <w:bCs/>
          <w:sz w:val="28"/>
          <w:szCs w:val="28"/>
          <w:lang w:val="en-US"/>
        </w:rPr>
        <w:t>分析</w:t>
      </w:r>
      <w:r w:rsidR="00E902C1" w:rsidRPr="00CA18B3">
        <w:rPr>
          <w:rFonts w:ascii="宋体" w:hAnsi="宋体" w:hint="eastAsia"/>
          <w:b/>
          <w:bCs/>
          <w:sz w:val="28"/>
          <w:szCs w:val="28"/>
          <w:lang w:val="en-US"/>
        </w:rPr>
        <w:t>依据</w:t>
      </w:r>
    </w:p>
    <w:p w14:paraId="7DAB159D" w14:textId="18EBD2CC" w:rsidR="00272A24" w:rsidRPr="00272A24" w:rsidRDefault="00272A24" w:rsidP="00CA18B3">
      <w:pPr>
        <w:pStyle w:val="a0"/>
        <w:ind w:firstLineChars="71" w:firstLine="171"/>
        <w:rPr>
          <w:rFonts w:ascii="宋体" w:hAnsi="宋体"/>
          <w:b/>
          <w:bCs/>
          <w:sz w:val="24"/>
          <w:szCs w:val="24"/>
          <w:lang w:val="en-US"/>
        </w:rPr>
      </w:pPr>
      <w:r w:rsidRPr="00272A24">
        <w:rPr>
          <w:rFonts w:ascii="宋体" w:hAnsi="宋体" w:hint="eastAsia"/>
          <w:b/>
          <w:bCs/>
          <w:sz w:val="24"/>
          <w:szCs w:val="24"/>
          <w:lang w:val="en-US"/>
        </w:rPr>
        <w:t>2</w:t>
      </w:r>
      <w:r w:rsidRPr="00272A24">
        <w:rPr>
          <w:rFonts w:ascii="宋体" w:hAnsi="宋体"/>
          <w:b/>
          <w:bCs/>
          <w:sz w:val="24"/>
          <w:szCs w:val="24"/>
          <w:lang w:val="en-US"/>
        </w:rPr>
        <w:t>.1</w:t>
      </w:r>
      <w:r w:rsidRPr="00272A24">
        <w:rPr>
          <w:rFonts w:ascii="宋体" w:hAnsi="宋体" w:hint="eastAsia"/>
          <w:b/>
          <w:bCs/>
          <w:sz w:val="24"/>
          <w:szCs w:val="24"/>
          <w:lang w:val="en-US"/>
        </w:rPr>
        <w:t>评价依据</w:t>
      </w:r>
    </w:p>
    <w:p w14:paraId="57249058" w14:textId="559BD05C" w:rsidR="00E902C1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1.《绿色建筑评价标准》GB/T50378-2019:</w:t>
      </w:r>
    </w:p>
    <w:p w14:paraId="30C26E57" w14:textId="5595386E" w:rsidR="00E902C1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2.《绿色建筑评价技术细则》2019-</w:t>
      </w:r>
    </w:p>
    <w:p w14:paraId="2E0FC870" w14:textId="58A2BA16" w:rsidR="00E902C1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3.《民用建筑隔声设计规范》GB50118-2010</w:t>
      </w:r>
    </w:p>
    <w:p w14:paraId="2E893972" w14:textId="75C9CDEF" w:rsidR="00E902C1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4.《建筑隔声评价标准》GB/T 50121-2005*</w:t>
      </w:r>
    </w:p>
    <w:p w14:paraId="616D8C33" w14:textId="59EE31E6" w:rsidR="00E902C1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5.《建筑声学设计手册》</w:t>
      </w:r>
    </w:p>
    <w:p w14:paraId="42A86CCD" w14:textId="21FD29EF" w:rsidR="00E902C1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6.《建筑隔声设计.空气声隔声技术》</w:t>
      </w:r>
    </w:p>
    <w:p w14:paraId="656B0A44" w14:textId="083E8673" w:rsidR="00F0368D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7.《民用建筑绿色性能计算标准》JGJT 449-2018</w:t>
      </w:r>
    </w:p>
    <w:p w14:paraId="78AFDD5B" w14:textId="069F1CE8" w:rsidR="00F0368D" w:rsidRPr="00CA18B3" w:rsidRDefault="00F0368D" w:rsidP="00272A24">
      <w:pPr>
        <w:pStyle w:val="a0"/>
        <w:ind w:firstLineChars="82" w:firstLine="198"/>
        <w:rPr>
          <w:rFonts w:ascii="宋体" w:hAnsi="宋体"/>
          <w:b/>
          <w:bCs/>
          <w:sz w:val="24"/>
          <w:szCs w:val="24"/>
          <w:lang w:val="en-US"/>
        </w:rPr>
      </w:pPr>
      <w:r w:rsidRPr="00CA18B3">
        <w:rPr>
          <w:rFonts w:ascii="宋体" w:hAnsi="宋体" w:hint="eastAsia"/>
          <w:b/>
          <w:bCs/>
          <w:sz w:val="24"/>
          <w:szCs w:val="24"/>
          <w:lang w:val="en-US"/>
        </w:rPr>
        <w:t>2.2 标准要求</w:t>
      </w:r>
    </w:p>
    <w:p w14:paraId="3305D351" w14:textId="2B715597" w:rsidR="00E902C1" w:rsidRPr="00CA18B3" w:rsidRDefault="00E902C1" w:rsidP="00E902C1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《绿色建筑评价标准》GB/T 50378-2019 第 5.1.4条、第 5.2.6 条对主要功配房</w:t>
      </w:r>
      <w:proofErr w:type="gramStart"/>
      <w:r w:rsidRPr="00CA18B3">
        <w:rPr>
          <w:rFonts w:ascii="宋体" w:hAnsi="宋体" w:hint="eastAsia"/>
          <w:sz w:val="24"/>
          <w:szCs w:val="24"/>
          <w:lang w:val="en-US"/>
        </w:rPr>
        <w:t>间提出</w:t>
      </w:r>
      <w:proofErr w:type="gramEnd"/>
      <w:r w:rsidRPr="00CA18B3">
        <w:rPr>
          <w:rFonts w:ascii="宋体" w:hAnsi="宋体" w:hint="eastAsia"/>
          <w:sz w:val="24"/>
          <w:szCs w:val="24"/>
          <w:lang w:val="en-US"/>
        </w:rPr>
        <w:t>了明确要求。</w:t>
      </w:r>
    </w:p>
    <w:p w14:paraId="70100C3D" w14:textId="6FF305F8" w:rsidR="00E902C1" w:rsidRPr="00CA18B3" w:rsidRDefault="00E902C1" w:rsidP="00CA18B3">
      <w:pPr>
        <w:pStyle w:val="a0"/>
        <w:ind w:firstLine="482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b/>
          <w:bCs/>
          <w:sz w:val="24"/>
          <w:szCs w:val="24"/>
          <w:lang w:val="en-US"/>
        </w:rPr>
        <w:t>控制项要求</w:t>
      </w:r>
      <w:r w:rsidRPr="00CA18B3">
        <w:rPr>
          <w:rFonts w:ascii="宋体" w:hAnsi="宋体" w:hint="eastAsia"/>
          <w:sz w:val="24"/>
          <w:szCs w:val="24"/>
          <w:lang w:val="en-US"/>
        </w:rPr>
        <w:t>:</w:t>
      </w:r>
      <w:r w:rsidRPr="00CA18B3">
        <w:rPr>
          <w:rFonts w:ascii="宋体" w:hAnsi="宋体" w:hint="eastAsia"/>
          <w:sz w:val="24"/>
          <w:szCs w:val="24"/>
        </w:rPr>
        <w:t xml:space="preserve"> </w:t>
      </w:r>
      <w:r w:rsidRPr="00CA18B3">
        <w:rPr>
          <w:rFonts w:ascii="宋体" w:hAnsi="宋体" w:hint="eastAsia"/>
          <w:sz w:val="24"/>
          <w:szCs w:val="24"/>
          <w:lang w:val="en-US"/>
        </w:rPr>
        <w:t xml:space="preserve">5.1.4 </w:t>
      </w:r>
      <w:proofErr w:type="gramStart"/>
      <w:r w:rsidRPr="00CA18B3">
        <w:rPr>
          <w:rFonts w:ascii="宋体" w:hAnsi="宋体" w:hint="eastAsia"/>
          <w:sz w:val="24"/>
          <w:szCs w:val="24"/>
          <w:lang w:val="en-US"/>
        </w:rPr>
        <w:t>主费功能</w:t>
      </w:r>
      <w:proofErr w:type="gramEnd"/>
      <w:r w:rsidRPr="00CA18B3">
        <w:rPr>
          <w:rFonts w:ascii="宋体" w:hAnsi="宋体" w:hint="eastAsia"/>
          <w:sz w:val="24"/>
          <w:szCs w:val="24"/>
          <w:lang w:val="en-US"/>
        </w:rPr>
        <w:t>房间的室内境声级和隔声性能应符合下列规定:</w:t>
      </w:r>
    </w:p>
    <w:p w14:paraId="0121ED82" w14:textId="1548B216" w:rsidR="00E902C1" w:rsidRPr="00CA18B3" w:rsidRDefault="00E902C1" w:rsidP="00CA18B3">
      <w:pPr>
        <w:pStyle w:val="a0"/>
        <w:ind w:firstLineChars="0" w:firstLine="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室内噪声级应满足现行国家标准《民用建筑隔声设计规》GB 50118 中的低限要求：</w:t>
      </w:r>
    </w:p>
    <w:p w14:paraId="7D854A5D" w14:textId="5ACCDEB5" w:rsidR="00E902C1" w:rsidRPr="00CA18B3" w:rsidRDefault="00E902C1" w:rsidP="00901CF2">
      <w:pPr>
        <w:pStyle w:val="a0"/>
        <w:ind w:firstLine="482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b/>
          <w:bCs/>
          <w:sz w:val="24"/>
          <w:szCs w:val="24"/>
          <w:lang w:val="en-US"/>
        </w:rPr>
        <w:lastRenderedPageBreak/>
        <w:t>评分项要求</w:t>
      </w:r>
      <w:r w:rsidRPr="00CA18B3">
        <w:rPr>
          <w:rFonts w:ascii="宋体" w:hAnsi="宋体" w:hint="eastAsia"/>
          <w:sz w:val="24"/>
          <w:szCs w:val="24"/>
          <w:lang w:val="en-US"/>
        </w:rPr>
        <w:t>:</w:t>
      </w:r>
    </w:p>
    <w:p w14:paraId="23729326" w14:textId="372E8121" w:rsidR="00E902C1" w:rsidRPr="00CA18B3" w:rsidRDefault="00E902C1" w:rsidP="00901CF2">
      <w:pPr>
        <w:pStyle w:val="a0"/>
        <w:ind w:firstLine="480"/>
        <w:rPr>
          <w:rFonts w:ascii="宋体" w:hAnsi="宋体"/>
          <w:sz w:val="24"/>
          <w:szCs w:val="24"/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5.26采取措施优化主要功能房间的空内声环境，</w:t>
      </w:r>
      <w:proofErr w:type="gramStart"/>
      <w:r w:rsidRPr="00CA18B3">
        <w:rPr>
          <w:rFonts w:ascii="宋体" w:hAnsi="宋体" w:hint="eastAsia"/>
          <w:sz w:val="24"/>
          <w:szCs w:val="24"/>
          <w:lang w:val="en-US"/>
        </w:rPr>
        <w:t>评价总分值</w:t>
      </w:r>
      <w:proofErr w:type="gramEnd"/>
      <w:r w:rsidRPr="00CA18B3">
        <w:rPr>
          <w:rFonts w:ascii="宋体" w:hAnsi="宋体" w:hint="eastAsia"/>
          <w:sz w:val="24"/>
          <w:szCs w:val="24"/>
          <w:lang w:val="en-US"/>
        </w:rPr>
        <w:t>为8分。</w:t>
      </w:r>
    </w:p>
    <w:p w14:paraId="5C62600B" w14:textId="26F739E7" w:rsidR="001400C1" w:rsidRDefault="00E902C1" w:rsidP="00E902C1">
      <w:pPr>
        <w:pStyle w:val="a0"/>
        <w:ind w:firstLine="480"/>
        <w:rPr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噪声级达到现行国家标准《民用建筑隔声设计规范》GB 50118 中的低限标准限值和高要求标准限值的平均值，得 4分;达到高要求标准限值，得8分</w:t>
      </w:r>
      <w:r>
        <w:rPr>
          <w:rFonts w:hint="eastAsia"/>
          <w:lang w:val="en-US"/>
        </w:rPr>
        <w:t>。</w:t>
      </w:r>
    </w:p>
    <w:p w14:paraId="757508B7" w14:textId="7BF5E527" w:rsidR="00E902C1" w:rsidRPr="00CA18B3" w:rsidRDefault="00CA18B3" w:rsidP="00CA18B3">
      <w:pPr>
        <w:pStyle w:val="a0"/>
        <w:ind w:firstLineChars="71"/>
        <w:rPr>
          <w:rFonts w:ascii="宋体" w:hAnsi="宋体"/>
          <w:b/>
          <w:bCs/>
          <w:sz w:val="28"/>
          <w:szCs w:val="28"/>
          <w:lang w:val="en-US"/>
        </w:rPr>
      </w:pPr>
      <w:r w:rsidRPr="00CA18B3">
        <w:rPr>
          <w:rFonts w:ascii="宋体" w:hAnsi="宋体" w:hint="eastAsia"/>
          <w:b/>
          <w:bCs/>
          <w:sz w:val="28"/>
          <w:szCs w:val="28"/>
          <w:lang w:val="en-US"/>
        </w:rPr>
        <w:t>3</w:t>
      </w:r>
      <w:r w:rsidRPr="00CA18B3">
        <w:rPr>
          <w:rFonts w:ascii="宋体" w:hAnsi="宋体"/>
          <w:b/>
          <w:bCs/>
          <w:sz w:val="28"/>
          <w:szCs w:val="28"/>
          <w:lang w:val="en-US"/>
        </w:rPr>
        <w:t>.</w:t>
      </w:r>
      <w:r w:rsidR="00E902C1" w:rsidRPr="00CA18B3">
        <w:rPr>
          <w:rFonts w:ascii="宋体" w:hAnsi="宋体" w:hint="eastAsia"/>
          <w:b/>
          <w:bCs/>
          <w:sz w:val="28"/>
          <w:szCs w:val="28"/>
          <w:lang w:val="en-US"/>
        </w:rPr>
        <w:t>结果分析</w:t>
      </w:r>
    </w:p>
    <w:p w14:paraId="07F8D7FC" w14:textId="7EA28168" w:rsidR="00E902C1" w:rsidRPr="00CA18B3" w:rsidRDefault="00CA18B3" w:rsidP="00CA18B3">
      <w:pPr>
        <w:pStyle w:val="a0"/>
        <w:ind w:firstLineChars="82" w:firstLine="198"/>
        <w:rPr>
          <w:rFonts w:ascii="宋体" w:hAnsi="宋体"/>
          <w:b/>
          <w:bCs/>
          <w:sz w:val="24"/>
          <w:szCs w:val="24"/>
          <w:lang w:val="en-US"/>
        </w:rPr>
      </w:pPr>
      <w:r w:rsidRPr="00CA18B3">
        <w:rPr>
          <w:rFonts w:ascii="宋体" w:hAnsi="宋体" w:hint="eastAsia"/>
          <w:b/>
          <w:bCs/>
          <w:sz w:val="24"/>
          <w:szCs w:val="24"/>
          <w:lang w:val="en-US"/>
        </w:rPr>
        <w:t>3</w:t>
      </w:r>
      <w:r w:rsidRPr="00CA18B3">
        <w:rPr>
          <w:rFonts w:ascii="宋体" w:hAnsi="宋体"/>
          <w:b/>
          <w:bCs/>
          <w:sz w:val="24"/>
          <w:szCs w:val="24"/>
          <w:lang w:val="en-US"/>
        </w:rPr>
        <w:t>.1</w:t>
      </w:r>
      <w:r w:rsidR="00E902C1" w:rsidRPr="00CA18B3">
        <w:rPr>
          <w:rFonts w:ascii="宋体" w:hAnsi="宋体" w:hint="eastAsia"/>
          <w:b/>
          <w:bCs/>
          <w:sz w:val="24"/>
          <w:szCs w:val="24"/>
          <w:lang w:val="en-US"/>
        </w:rPr>
        <w:t>室内噪声分析评价得分</w:t>
      </w:r>
    </w:p>
    <w:p w14:paraId="4D51A87C" w14:textId="435429FC" w:rsidR="00E902C1" w:rsidRDefault="00E902C1" w:rsidP="00E902C1">
      <w:pPr>
        <w:pStyle w:val="a0"/>
        <w:ind w:firstLine="4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D515596" wp14:editId="336E779C">
            <wp:extent cx="5715000" cy="223301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04" cy="223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8799" w14:textId="5B505D9C" w:rsidR="00E902C1" w:rsidRPr="00CA18B3" w:rsidRDefault="00CA18B3" w:rsidP="00CA18B3">
      <w:pPr>
        <w:pStyle w:val="a0"/>
        <w:ind w:firstLineChars="82" w:firstLine="198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3</w:t>
      </w:r>
      <w:r>
        <w:rPr>
          <w:b/>
          <w:bCs/>
          <w:sz w:val="24"/>
          <w:szCs w:val="24"/>
          <w:lang w:val="en-US"/>
        </w:rPr>
        <w:t>.2</w:t>
      </w:r>
      <w:r w:rsidR="00E902C1" w:rsidRPr="00CA18B3">
        <w:rPr>
          <w:rFonts w:hint="eastAsia"/>
          <w:b/>
          <w:bCs/>
          <w:sz w:val="24"/>
          <w:szCs w:val="24"/>
          <w:lang w:val="en-US"/>
        </w:rPr>
        <w:t>室内噪声级分析</w:t>
      </w:r>
    </w:p>
    <w:p w14:paraId="52C19EE1" w14:textId="331A6A6F" w:rsidR="00E902C1" w:rsidRDefault="00E902C1" w:rsidP="00E902C1">
      <w:pPr>
        <w:pStyle w:val="a0"/>
        <w:ind w:firstLine="4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1EF3F7" wp14:editId="718F4D89">
            <wp:extent cx="4924425" cy="431038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717" cy="432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AD30" w14:textId="42FABB00" w:rsidR="00A45EFF" w:rsidRPr="00CA18B3" w:rsidRDefault="00CA18B3" w:rsidP="00A45EFF">
      <w:pPr>
        <w:pStyle w:val="a0"/>
        <w:ind w:firstLine="562"/>
        <w:rPr>
          <w:rFonts w:ascii="宋体" w:hAnsi="宋体"/>
          <w:b/>
          <w:bCs/>
          <w:sz w:val="28"/>
          <w:szCs w:val="28"/>
          <w:lang w:val="en-US"/>
        </w:rPr>
      </w:pPr>
      <w:r w:rsidRPr="00CA18B3">
        <w:rPr>
          <w:rFonts w:ascii="宋体" w:hAnsi="宋体" w:hint="eastAsia"/>
          <w:b/>
          <w:bCs/>
          <w:sz w:val="28"/>
          <w:szCs w:val="28"/>
          <w:lang w:val="en-US"/>
        </w:rPr>
        <w:lastRenderedPageBreak/>
        <w:t>4</w:t>
      </w:r>
      <w:r w:rsidRPr="00CA18B3">
        <w:rPr>
          <w:rFonts w:ascii="宋体" w:hAnsi="宋体"/>
          <w:b/>
          <w:bCs/>
          <w:sz w:val="28"/>
          <w:szCs w:val="28"/>
          <w:lang w:val="en-US"/>
        </w:rPr>
        <w:t>.</w:t>
      </w:r>
      <w:r w:rsidR="001400C1" w:rsidRPr="00CA18B3">
        <w:rPr>
          <w:rFonts w:ascii="宋体" w:hAnsi="宋体" w:hint="eastAsia"/>
          <w:b/>
          <w:bCs/>
          <w:sz w:val="28"/>
          <w:szCs w:val="28"/>
          <w:lang w:val="en-US"/>
        </w:rPr>
        <w:t>结论</w:t>
      </w:r>
    </w:p>
    <w:p w14:paraId="0C914356" w14:textId="7D4F6413" w:rsidR="002812C6" w:rsidRPr="00CA18B3" w:rsidRDefault="00B4593D" w:rsidP="00CA18B3">
      <w:pPr>
        <w:pStyle w:val="a0"/>
        <w:ind w:firstLine="480"/>
        <w:rPr>
          <w:lang w:val="en-US"/>
        </w:rPr>
      </w:pPr>
      <w:r w:rsidRPr="00CA18B3">
        <w:rPr>
          <w:rFonts w:ascii="宋体" w:hAnsi="宋体" w:hint="eastAsia"/>
          <w:sz w:val="24"/>
          <w:szCs w:val="24"/>
          <w:lang w:val="en-US"/>
        </w:rPr>
        <w:t>根据《绿色建筑评价标准》GB/T50378-2019 和《民用建筑隔声没计规范》GB50118-2010评价要求，本项目满足空气声隔声基本要求，可得</w:t>
      </w:r>
      <w:r w:rsidRPr="00272A24">
        <w:rPr>
          <w:rFonts w:ascii="宋体" w:hAnsi="宋体" w:hint="eastAsia"/>
          <w:b/>
          <w:bCs/>
          <w:sz w:val="24"/>
          <w:szCs w:val="24"/>
          <w:lang w:val="en-US"/>
        </w:rPr>
        <w:t>3分</w:t>
      </w:r>
      <w:r w:rsidRPr="00CA18B3">
        <w:rPr>
          <w:rFonts w:ascii="宋体" w:hAnsi="宋体" w:hint="eastAsia"/>
          <w:sz w:val="24"/>
          <w:szCs w:val="24"/>
          <w:lang w:val="en-US"/>
        </w:rPr>
        <w:t>，满足室内噪声级高要求，得</w:t>
      </w:r>
      <w:r w:rsidRPr="00CA18B3">
        <w:rPr>
          <w:rFonts w:ascii="宋体" w:hAnsi="宋体" w:hint="eastAsia"/>
          <w:b/>
          <w:bCs/>
          <w:sz w:val="24"/>
          <w:szCs w:val="24"/>
          <w:lang w:val="en-US"/>
        </w:rPr>
        <w:t>8分</w:t>
      </w:r>
      <w:r>
        <w:rPr>
          <w:rFonts w:hint="eastAsia"/>
          <w:lang w:val="en-US"/>
        </w:rPr>
        <w:t>。</w:t>
      </w:r>
      <w:bookmarkEnd w:id="1"/>
    </w:p>
    <w:sectPr w:rsidR="002812C6" w:rsidRPr="00CA18B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2543" w14:textId="77777777" w:rsidR="00014367" w:rsidRDefault="00014367" w:rsidP="00203A7D">
      <w:r>
        <w:separator/>
      </w:r>
    </w:p>
  </w:endnote>
  <w:endnote w:type="continuationSeparator" w:id="0">
    <w:p w14:paraId="24CF5C4D" w14:textId="77777777" w:rsidR="00014367" w:rsidRDefault="0001436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1150F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4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4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5C5FC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A2C7" w14:textId="77777777" w:rsidR="00014367" w:rsidRDefault="00014367" w:rsidP="00203A7D">
      <w:r>
        <w:separator/>
      </w:r>
    </w:p>
  </w:footnote>
  <w:footnote w:type="continuationSeparator" w:id="0">
    <w:p w14:paraId="1F32645F" w14:textId="77777777" w:rsidR="00014367" w:rsidRDefault="0001436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AD56" w14:textId="06A82D3F" w:rsidR="0068547A" w:rsidRDefault="0068547A" w:rsidP="0068547A">
    <w:pPr>
      <w:pStyle w:val="a4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3FE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8835677">
    <w:abstractNumId w:val="0"/>
  </w:num>
  <w:num w:numId="2" w16cid:durableId="439223925">
    <w:abstractNumId w:val="2"/>
  </w:num>
  <w:num w:numId="3" w16cid:durableId="4214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00"/>
    <w:rsid w:val="00004918"/>
    <w:rsid w:val="00014367"/>
    <w:rsid w:val="00037A4C"/>
    <w:rsid w:val="0004094E"/>
    <w:rsid w:val="000540BB"/>
    <w:rsid w:val="00073958"/>
    <w:rsid w:val="00094002"/>
    <w:rsid w:val="000B7A2D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26051"/>
    <w:rsid w:val="001400C1"/>
    <w:rsid w:val="001474DA"/>
    <w:rsid w:val="0014776A"/>
    <w:rsid w:val="0016330F"/>
    <w:rsid w:val="00190144"/>
    <w:rsid w:val="00193751"/>
    <w:rsid w:val="001A7C37"/>
    <w:rsid w:val="001B2005"/>
    <w:rsid w:val="001B7C87"/>
    <w:rsid w:val="001C3434"/>
    <w:rsid w:val="001C3598"/>
    <w:rsid w:val="001F00E7"/>
    <w:rsid w:val="00203163"/>
    <w:rsid w:val="00203A7D"/>
    <w:rsid w:val="00217F09"/>
    <w:rsid w:val="002555B8"/>
    <w:rsid w:val="00272A24"/>
    <w:rsid w:val="002812C6"/>
    <w:rsid w:val="0029328A"/>
    <w:rsid w:val="002B090C"/>
    <w:rsid w:val="002C600D"/>
    <w:rsid w:val="002E702B"/>
    <w:rsid w:val="0030293A"/>
    <w:rsid w:val="003042CC"/>
    <w:rsid w:val="0030437C"/>
    <w:rsid w:val="003121F7"/>
    <w:rsid w:val="0031365D"/>
    <w:rsid w:val="00314D29"/>
    <w:rsid w:val="00317F3B"/>
    <w:rsid w:val="003A6A7F"/>
    <w:rsid w:val="003C51B9"/>
    <w:rsid w:val="003C5F3A"/>
    <w:rsid w:val="003E4246"/>
    <w:rsid w:val="00412ACB"/>
    <w:rsid w:val="004169B3"/>
    <w:rsid w:val="00453246"/>
    <w:rsid w:val="00477C6F"/>
    <w:rsid w:val="00483193"/>
    <w:rsid w:val="004966F6"/>
    <w:rsid w:val="004D230F"/>
    <w:rsid w:val="004D449D"/>
    <w:rsid w:val="004F0639"/>
    <w:rsid w:val="005215FB"/>
    <w:rsid w:val="00555471"/>
    <w:rsid w:val="0056528E"/>
    <w:rsid w:val="005725E0"/>
    <w:rsid w:val="005755BA"/>
    <w:rsid w:val="005A21DB"/>
    <w:rsid w:val="005F5114"/>
    <w:rsid w:val="006019FE"/>
    <w:rsid w:val="006164A1"/>
    <w:rsid w:val="0062255B"/>
    <w:rsid w:val="006254D5"/>
    <w:rsid w:val="006463F1"/>
    <w:rsid w:val="00662EF0"/>
    <w:rsid w:val="0067336D"/>
    <w:rsid w:val="00676705"/>
    <w:rsid w:val="0068547A"/>
    <w:rsid w:val="00694FCA"/>
    <w:rsid w:val="006A65D2"/>
    <w:rsid w:val="006D02D6"/>
    <w:rsid w:val="006E7597"/>
    <w:rsid w:val="006F3036"/>
    <w:rsid w:val="00715D86"/>
    <w:rsid w:val="00750B7A"/>
    <w:rsid w:val="00762314"/>
    <w:rsid w:val="007816D6"/>
    <w:rsid w:val="00790B40"/>
    <w:rsid w:val="00790FC6"/>
    <w:rsid w:val="00795DB3"/>
    <w:rsid w:val="007A20AF"/>
    <w:rsid w:val="007A5318"/>
    <w:rsid w:val="007B61C5"/>
    <w:rsid w:val="007C26C3"/>
    <w:rsid w:val="007C4F93"/>
    <w:rsid w:val="007E5D0D"/>
    <w:rsid w:val="007F150E"/>
    <w:rsid w:val="00804E78"/>
    <w:rsid w:val="00823E9B"/>
    <w:rsid w:val="0083162D"/>
    <w:rsid w:val="00837710"/>
    <w:rsid w:val="0086632A"/>
    <w:rsid w:val="0087011E"/>
    <w:rsid w:val="00883D6C"/>
    <w:rsid w:val="00886207"/>
    <w:rsid w:val="008A48E6"/>
    <w:rsid w:val="008C2EBC"/>
    <w:rsid w:val="008D40D1"/>
    <w:rsid w:val="008F56AB"/>
    <w:rsid w:val="00901CF2"/>
    <w:rsid w:val="00920FEB"/>
    <w:rsid w:val="009269F4"/>
    <w:rsid w:val="00973444"/>
    <w:rsid w:val="009A4F1F"/>
    <w:rsid w:val="009C1CEB"/>
    <w:rsid w:val="009E2DE9"/>
    <w:rsid w:val="00A27182"/>
    <w:rsid w:val="00A32590"/>
    <w:rsid w:val="00A327ED"/>
    <w:rsid w:val="00A355BD"/>
    <w:rsid w:val="00A43916"/>
    <w:rsid w:val="00A45EFF"/>
    <w:rsid w:val="00A7462A"/>
    <w:rsid w:val="00A8181B"/>
    <w:rsid w:val="00A8393F"/>
    <w:rsid w:val="00AA26C7"/>
    <w:rsid w:val="00AA47FE"/>
    <w:rsid w:val="00AB4C7A"/>
    <w:rsid w:val="00AC7EEF"/>
    <w:rsid w:val="00AD5900"/>
    <w:rsid w:val="00B11FE8"/>
    <w:rsid w:val="00B27308"/>
    <w:rsid w:val="00B4152F"/>
    <w:rsid w:val="00B41640"/>
    <w:rsid w:val="00B44806"/>
    <w:rsid w:val="00B4593D"/>
    <w:rsid w:val="00B55B22"/>
    <w:rsid w:val="00B60841"/>
    <w:rsid w:val="00B6154D"/>
    <w:rsid w:val="00B718EE"/>
    <w:rsid w:val="00B71B30"/>
    <w:rsid w:val="00B73C41"/>
    <w:rsid w:val="00B7457E"/>
    <w:rsid w:val="00BB4C72"/>
    <w:rsid w:val="00BD39F3"/>
    <w:rsid w:val="00BE0BAC"/>
    <w:rsid w:val="00BE3C10"/>
    <w:rsid w:val="00BE75B4"/>
    <w:rsid w:val="00C256B6"/>
    <w:rsid w:val="00C63237"/>
    <w:rsid w:val="00C6570E"/>
    <w:rsid w:val="00C67778"/>
    <w:rsid w:val="00C86FAA"/>
    <w:rsid w:val="00C97E25"/>
    <w:rsid w:val="00CA18B3"/>
    <w:rsid w:val="00CB0266"/>
    <w:rsid w:val="00CB0F5E"/>
    <w:rsid w:val="00CC3ADF"/>
    <w:rsid w:val="00CE0B83"/>
    <w:rsid w:val="00CE28AA"/>
    <w:rsid w:val="00CE7051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F470C"/>
    <w:rsid w:val="00E1340C"/>
    <w:rsid w:val="00E14637"/>
    <w:rsid w:val="00E1693B"/>
    <w:rsid w:val="00E30331"/>
    <w:rsid w:val="00E36F2D"/>
    <w:rsid w:val="00E52B53"/>
    <w:rsid w:val="00E60BFC"/>
    <w:rsid w:val="00E613D8"/>
    <w:rsid w:val="00E62CE3"/>
    <w:rsid w:val="00E660D6"/>
    <w:rsid w:val="00E71FC4"/>
    <w:rsid w:val="00E81ACD"/>
    <w:rsid w:val="00E902C1"/>
    <w:rsid w:val="00EA5DEE"/>
    <w:rsid w:val="00EB67C0"/>
    <w:rsid w:val="00EB6DB8"/>
    <w:rsid w:val="00EC2A75"/>
    <w:rsid w:val="00EE1BA7"/>
    <w:rsid w:val="00EF3DA5"/>
    <w:rsid w:val="00EF7114"/>
    <w:rsid w:val="00F0368D"/>
    <w:rsid w:val="00F30C12"/>
    <w:rsid w:val="00F43EC9"/>
    <w:rsid w:val="00F565AC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58155"/>
  <w15:chartTrackingRefBased/>
  <w15:docId w15:val="{61A0038F-6970-4C60-BDF6-5933E47F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CA18B3"/>
    <w:pPr>
      <w:keepNext/>
      <w:kinsoku w:val="0"/>
      <w:spacing w:before="240" w:after="60"/>
      <w:outlineLvl w:val="0"/>
    </w:pPr>
    <w:rPr>
      <w:rFonts w:ascii="宋体" w:hAnsi="宋体"/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CA18B3"/>
    <w:pPr>
      <w:keepLines/>
      <w:kinsoku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C1DD-45FA-4B11-9781-A13CF0BC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151</TotalTime>
  <Pages>5</Pages>
  <Words>130</Words>
  <Characters>746</Characters>
  <Application>Microsoft Office Word</Application>
  <DocSecurity>0</DocSecurity>
  <Lines>6</Lines>
  <Paragraphs>1</Paragraphs>
  <ScaleCrop>false</ScaleCrop>
  <Company>ths</Company>
  <LinksUpToDate>false</LinksUpToDate>
  <CharactersWithSpaces>875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</dc:creator>
  <cp:keywords/>
  <dc:description/>
  <cp:lastModifiedBy>NTXD</cp:lastModifiedBy>
  <cp:revision>50</cp:revision>
  <cp:lastPrinted>1899-12-31T16:00:00Z</cp:lastPrinted>
  <dcterms:created xsi:type="dcterms:W3CDTF">2022-12-27T08:32:00Z</dcterms:created>
  <dcterms:modified xsi:type="dcterms:W3CDTF">2022-12-31T02:54:00Z</dcterms:modified>
</cp:coreProperties>
</file>