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B05F" w14:textId="34B7852E" w:rsidR="00151AF1" w:rsidRDefault="00182F9B" w:rsidP="00151AF1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室内空气质量预评估</w:t>
      </w:r>
      <w:r w:rsidR="003E0ECB">
        <w:rPr>
          <w:rFonts w:ascii="黑体" w:eastAsia="黑体" w:hAnsi="宋体" w:hint="eastAsia"/>
          <w:b/>
          <w:bCs/>
          <w:sz w:val="72"/>
          <w:szCs w:val="72"/>
        </w:rPr>
        <w:t>与</w:t>
      </w:r>
    </w:p>
    <w:p w14:paraId="7F7D1098" w14:textId="6A5BEF61" w:rsidR="003E0ECB" w:rsidRDefault="003E0ECB" w:rsidP="00151AF1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室内有机挥发物浓度</w:t>
      </w:r>
    </w:p>
    <w:p w14:paraId="19F0B3CA" w14:textId="422E0EB2" w:rsidR="00182F9B" w:rsidRPr="00A22524" w:rsidRDefault="00182F9B" w:rsidP="00151AF1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00FF0A53" w14:textId="74D8B383" w:rsidR="00151AF1" w:rsidRPr="00E71FC4" w:rsidRDefault="00182F9B" w:rsidP="00151AF1">
      <w:pPr>
        <w:spacing w:beforeLines="100" w:before="312" w:line="180" w:lineRule="atLeast"/>
        <w:jc w:val="center"/>
        <w:rPr>
          <w:rFonts w:ascii="宋体" w:hAnsi="宋体"/>
          <w:b/>
          <w:sz w:val="52"/>
          <w:szCs w:val="52"/>
          <w:lang w:val="en-US"/>
        </w:rPr>
      </w:pPr>
      <w:r>
        <w:rPr>
          <w:rFonts w:ascii="宋体" w:hAnsi="宋体" w:hint="eastAsia"/>
          <w:b/>
          <w:sz w:val="52"/>
          <w:szCs w:val="52"/>
          <w:lang w:val="en-US"/>
        </w:rPr>
        <w:t>可吸入颗粒物</w:t>
      </w:r>
    </w:p>
    <w:p w14:paraId="533BD583" w14:textId="77777777" w:rsidR="00151AF1" w:rsidRPr="00E1340C" w:rsidRDefault="00151AF1" w:rsidP="00151AF1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</w:p>
    <w:tbl>
      <w:tblPr>
        <w:tblStyle w:val="a3"/>
        <w:tblpPr w:leftFromText="180" w:rightFromText="180" w:vertAnchor="text" w:horzAnchor="page" w:tblpX="2926" w:tblpY="-40"/>
        <w:tblW w:w="0" w:type="auto"/>
        <w:tblLook w:val="04A0" w:firstRow="1" w:lastRow="0" w:firstColumn="1" w:lastColumn="0" w:noHBand="0" w:noVBand="1"/>
      </w:tblPr>
      <w:tblGrid>
        <w:gridCol w:w="3314"/>
        <w:gridCol w:w="3314"/>
      </w:tblGrid>
      <w:tr w:rsidR="00151AF1" w:rsidRPr="00E71FC4" w14:paraId="555B16F1" w14:textId="77777777" w:rsidTr="004A23A5">
        <w:trPr>
          <w:trHeight w:val="281"/>
        </w:trPr>
        <w:tc>
          <w:tcPr>
            <w:tcW w:w="3314" w:type="dxa"/>
          </w:tcPr>
          <w:p w14:paraId="397AE7BF" w14:textId="77777777" w:rsidR="00151AF1" w:rsidRPr="00AC0872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AC0872">
              <w:rPr>
                <w:rFonts w:ascii="宋体" w:hAnsi="宋体" w:hint="eastAsia"/>
                <w:sz w:val="24"/>
                <w:szCs w:val="24"/>
                <w:lang w:val="en-US"/>
              </w:rPr>
              <w:t>工程名称</w:t>
            </w:r>
          </w:p>
        </w:tc>
        <w:tc>
          <w:tcPr>
            <w:tcW w:w="3314" w:type="dxa"/>
          </w:tcPr>
          <w:p w14:paraId="3B195192" w14:textId="77777777" w:rsidR="00151AF1" w:rsidRPr="00AC0872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AC0872">
              <w:rPr>
                <w:rFonts w:ascii="宋体" w:hAnsi="宋体" w:hint="eastAsia"/>
                <w:sz w:val="24"/>
                <w:szCs w:val="24"/>
                <w:lang w:val="en-US"/>
              </w:rPr>
              <w:t>艺术教育中心综合楼</w:t>
            </w:r>
          </w:p>
        </w:tc>
      </w:tr>
      <w:tr w:rsidR="00151AF1" w:rsidRPr="00E71FC4" w14:paraId="3930FD2C" w14:textId="77777777" w:rsidTr="004A23A5">
        <w:trPr>
          <w:trHeight w:val="269"/>
        </w:trPr>
        <w:tc>
          <w:tcPr>
            <w:tcW w:w="3314" w:type="dxa"/>
          </w:tcPr>
          <w:p w14:paraId="228C11A4" w14:textId="77777777" w:rsidR="00151AF1" w:rsidRPr="00AC0872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AC0872">
              <w:rPr>
                <w:rFonts w:ascii="宋体" w:hAnsi="宋体" w:hint="eastAsia"/>
                <w:sz w:val="24"/>
                <w:szCs w:val="24"/>
                <w:lang w:val="en-US"/>
              </w:rPr>
              <w:t>工程地点</w:t>
            </w:r>
          </w:p>
        </w:tc>
        <w:tc>
          <w:tcPr>
            <w:tcW w:w="3314" w:type="dxa"/>
          </w:tcPr>
          <w:p w14:paraId="728D7E3E" w14:textId="77777777" w:rsidR="00151AF1" w:rsidRPr="00AC0872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AC0872">
              <w:rPr>
                <w:rFonts w:ascii="宋体" w:hAnsi="宋体" w:hint="eastAsia"/>
                <w:sz w:val="24"/>
                <w:szCs w:val="24"/>
                <w:lang w:val="en-US"/>
              </w:rPr>
              <w:t>江苏-南通</w:t>
            </w:r>
          </w:p>
        </w:tc>
      </w:tr>
      <w:tr w:rsidR="00151AF1" w:rsidRPr="00E71FC4" w14:paraId="4A40EE18" w14:textId="77777777" w:rsidTr="004A23A5">
        <w:trPr>
          <w:trHeight w:val="281"/>
        </w:trPr>
        <w:tc>
          <w:tcPr>
            <w:tcW w:w="3314" w:type="dxa"/>
          </w:tcPr>
          <w:p w14:paraId="276D4326" w14:textId="77777777" w:rsidR="00151AF1" w:rsidRPr="00AC0872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AC0872">
              <w:rPr>
                <w:rFonts w:ascii="宋体" w:hAnsi="宋体" w:hint="eastAsia"/>
                <w:sz w:val="24"/>
                <w:szCs w:val="24"/>
                <w:lang w:val="en-US"/>
              </w:rPr>
              <w:t>设计编号</w:t>
            </w:r>
          </w:p>
        </w:tc>
        <w:tc>
          <w:tcPr>
            <w:tcW w:w="3314" w:type="dxa"/>
          </w:tcPr>
          <w:p w14:paraId="25B5CB31" w14:textId="73AE4A0F" w:rsidR="00151AF1" w:rsidRPr="00AC0872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:rsidR="00151AF1" w:rsidRPr="00E71FC4" w14:paraId="1C7B67E9" w14:textId="77777777" w:rsidTr="004A23A5">
        <w:trPr>
          <w:trHeight w:val="281"/>
        </w:trPr>
        <w:tc>
          <w:tcPr>
            <w:tcW w:w="3314" w:type="dxa"/>
          </w:tcPr>
          <w:p w14:paraId="37FAD9A6" w14:textId="77777777" w:rsidR="00151AF1" w:rsidRPr="00AC0872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AC0872">
              <w:rPr>
                <w:rFonts w:ascii="宋体" w:hAnsi="宋体" w:hint="eastAsia"/>
                <w:sz w:val="24"/>
                <w:szCs w:val="24"/>
                <w:lang w:val="en-US"/>
              </w:rPr>
              <w:t>建设单位</w:t>
            </w:r>
          </w:p>
        </w:tc>
        <w:tc>
          <w:tcPr>
            <w:tcW w:w="3314" w:type="dxa"/>
          </w:tcPr>
          <w:p w14:paraId="2D7C815C" w14:textId="005C0CE7" w:rsidR="00151AF1" w:rsidRPr="00AC0872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:rsidR="00151AF1" w:rsidRPr="00E71FC4" w14:paraId="0C224303" w14:textId="77777777" w:rsidTr="004A23A5">
        <w:trPr>
          <w:trHeight w:val="269"/>
        </w:trPr>
        <w:tc>
          <w:tcPr>
            <w:tcW w:w="3314" w:type="dxa"/>
          </w:tcPr>
          <w:p w14:paraId="454E260B" w14:textId="77777777" w:rsidR="00151AF1" w:rsidRPr="00AC0872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AC0872">
              <w:rPr>
                <w:rFonts w:ascii="宋体" w:hAnsi="宋体" w:hint="eastAsia"/>
                <w:sz w:val="24"/>
                <w:szCs w:val="24"/>
                <w:lang w:val="en-US"/>
              </w:rPr>
              <w:t>设计单位</w:t>
            </w:r>
          </w:p>
        </w:tc>
        <w:tc>
          <w:tcPr>
            <w:tcW w:w="3314" w:type="dxa"/>
          </w:tcPr>
          <w:p w14:paraId="62164A03" w14:textId="66679950" w:rsidR="00151AF1" w:rsidRPr="00AC0872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:rsidR="00151AF1" w:rsidRPr="00E71FC4" w14:paraId="11900C98" w14:textId="77777777" w:rsidTr="004A23A5">
        <w:trPr>
          <w:trHeight w:val="281"/>
        </w:trPr>
        <w:tc>
          <w:tcPr>
            <w:tcW w:w="3314" w:type="dxa"/>
          </w:tcPr>
          <w:p w14:paraId="19718F7A" w14:textId="77777777" w:rsidR="00151AF1" w:rsidRPr="00AC0872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AC0872">
              <w:rPr>
                <w:rFonts w:ascii="宋体" w:hAnsi="宋体" w:hint="eastAsia"/>
                <w:sz w:val="24"/>
                <w:szCs w:val="24"/>
                <w:lang w:val="en-US"/>
              </w:rPr>
              <w:t>设 计 人</w:t>
            </w:r>
          </w:p>
        </w:tc>
        <w:tc>
          <w:tcPr>
            <w:tcW w:w="3314" w:type="dxa"/>
          </w:tcPr>
          <w:p w14:paraId="3499F671" w14:textId="2DE375DD" w:rsidR="00151AF1" w:rsidRPr="00AC0872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:rsidR="00151AF1" w:rsidRPr="00E71FC4" w14:paraId="04AA26E3" w14:textId="77777777" w:rsidTr="004A23A5">
        <w:trPr>
          <w:trHeight w:val="281"/>
        </w:trPr>
        <w:tc>
          <w:tcPr>
            <w:tcW w:w="3314" w:type="dxa"/>
          </w:tcPr>
          <w:p w14:paraId="5E3FD7E4" w14:textId="77777777" w:rsidR="00151AF1" w:rsidRPr="00AC0872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AC0872">
              <w:rPr>
                <w:rFonts w:ascii="宋体" w:hAnsi="宋体" w:hint="eastAsia"/>
                <w:sz w:val="24"/>
                <w:szCs w:val="24"/>
                <w:lang w:val="en-US"/>
              </w:rPr>
              <w:t>校 对 人</w:t>
            </w:r>
          </w:p>
        </w:tc>
        <w:tc>
          <w:tcPr>
            <w:tcW w:w="3314" w:type="dxa"/>
          </w:tcPr>
          <w:p w14:paraId="524A3A44" w14:textId="77777777" w:rsidR="00151AF1" w:rsidRPr="00AC0872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:rsidR="00151AF1" w:rsidRPr="00E71FC4" w14:paraId="25809E4C" w14:textId="77777777" w:rsidTr="004A23A5">
        <w:trPr>
          <w:trHeight w:val="269"/>
        </w:trPr>
        <w:tc>
          <w:tcPr>
            <w:tcW w:w="3314" w:type="dxa"/>
          </w:tcPr>
          <w:p w14:paraId="0EA28053" w14:textId="77777777" w:rsidR="00151AF1" w:rsidRPr="00AC0872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AC0872">
              <w:rPr>
                <w:rFonts w:ascii="宋体" w:hAnsi="宋体" w:hint="eastAsia"/>
                <w:sz w:val="24"/>
                <w:szCs w:val="24"/>
                <w:lang w:val="en-US"/>
              </w:rPr>
              <w:t>审 核 人</w:t>
            </w:r>
          </w:p>
        </w:tc>
        <w:tc>
          <w:tcPr>
            <w:tcW w:w="3314" w:type="dxa"/>
          </w:tcPr>
          <w:p w14:paraId="0B21A9ED" w14:textId="77777777" w:rsidR="00151AF1" w:rsidRPr="00AC0872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:rsidR="00151AF1" w14:paraId="49075722" w14:textId="77777777" w:rsidTr="004A23A5">
        <w:trPr>
          <w:trHeight w:val="281"/>
        </w:trPr>
        <w:tc>
          <w:tcPr>
            <w:tcW w:w="3314" w:type="dxa"/>
          </w:tcPr>
          <w:p w14:paraId="5245A219" w14:textId="77777777" w:rsidR="00151AF1" w:rsidRPr="00AC0872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AC0872">
              <w:rPr>
                <w:rFonts w:ascii="宋体" w:hAnsi="宋体" w:hint="eastAsia"/>
                <w:sz w:val="24"/>
                <w:szCs w:val="24"/>
                <w:lang w:val="en-US"/>
              </w:rPr>
              <w:t>设计日期</w:t>
            </w:r>
          </w:p>
        </w:tc>
        <w:tc>
          <w:tcPr>
            <w:tcW w:w="3314" w:type="dxa"/>
          </w:tcPr>
          <w:p w14:paraId="546886C7" w14:textId="2CEFC401" w:rsidR="00151AF1" w:rsidRPr="00AC0872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AC0872">
              <w:rPr>
                <w:rFonts w:ascii="宋体" w:hAnsi="宋体" w:hint="eastAsia"/>
                <w:sz w:val="24"/>
                <w:szCs w:val="24"/>
                <w:lang w:val="en-US"/>
              </w:rPr>
              <w:t>2022年</w:t>
            </w:r>
            <w:r w:rsidR="00AC0872">
              <w:rPr>
                <w:rFonts w:ascii="宋体" w:hAnsi="宋体" w:hint="eastAsia"/>
                <w:sz w:val="24"/>
                <w:szCs w:val="24"/>
                <w:lang w:val="en-US"/>
              </w:rPr>
              <w:t>1</w:t>
            </w:r>
            <w:r w:rsidR="00AC0872">
              <w:rPr>
                <w:rFonts w:ascii="宋体" w:hAnsi="宋体"/>
                <w:sz w:val="24"/>
                <w:szCs w:val="24"/>
                <w:lang w:val="en-US"/>
              </w:rPr>
              <w:t>2</w:t>
            </w:r>
            <w:r w:rsidRPr="00AC0872">
              <w:rPr>
                <w:rFonts w:ascii="宋体" w:hAnsi="宋体" w:hint="eastAsia"/>
                <w:sz w:val="24"/>
                <w:szCs w:val="24"/>
                <w:lang w:val="en-US"/>
              </w:rPr>
              <w:t>月</w:t>
            </w:r>
            <w:r w:rsidR="00AC0872">
              <w:rPr>
                <w:rFonts w:ascii="宋体" w:hAnsi="宋体" w:hint="eastAsia"/>
                <w:sz w:val="24"/>
                <w:szCs w:val="24"/>
                <w:lang w:val="en-US"/>
              </w:rPr>
              <w:t>3</w:t>
            </w:r>
            <w:r w:rsidR="00AC0872">
              <w:rPr>
                <w:rFonts w:ascii="宋体" w:hAnsi="宋体"/>
                <w:sz w:val="24"/>
                <w:szCs w:val="24"/>
                <w:lang w:val="en-US"/>
              </w:rPr>
              <w:t>0</w:t>
            </w:r>
            <w:r w:rsidRPr="00AC0872">
              <w:rPr>
                <w:rFonts w:ascii="宋体" w:hAnsi="宋体" w:hint="eastAsia"/>
                <w:sz w:val="24"/>
                <w:szCs w:val="24"/>
                <w:lang w:val="en-US"/>
              </w:rPr>
              <w:t>日</w:t>
            </w:r>
          </w:p>
        </w:tc>
      </w:tr>
    </w:tbl>
    <w:p w14:paraId="397A9945" w14:textId="386BA499" w:rsidR="00562E20" w:rsidRDefault="00562E20"/>
    <w:p w14:paraId="14964CBD" w14:textId="181FFCF8" w:rsidR="00182F9B" w:rsidRPr="00182F9B" w:rsidRDefault="00182F9B" w:rsidP="00182F9B"/>
    <w:p w14:paraId="1E38818D" w14:textId="78CEAE53" w:rsidR="00182F9B" w:rsidRPr="00182F9B" w:rsidRDefault="00182F9B" w:rsidP="00182F9B"/>
    <w:p w14:paraId="2C029785" w14:textId="7A7B9C69" w:rsidR="00182F9B" w:rsidRPr="00182F9B" w:rsidRDefault="00182F9B" w:rsidP="00182F9B"/>
    <w:p w14:paraId="732C52D7" w14:textId="0672F520" w:rsidR="00182F9B" w:rsidRPr="00182F9B" w:rsidRDefault="00182F9B" w:rsidP="00182F9B"/>
    <w:p w14:paraId="03327936" w14:textId="4260C304" w:rsidR="00182F9B" w:rsidRPr="00182F9B" w:rsidRDefault="00182F9B" w:rsidP="00182F9B"/>
    <w:p w14:paraId="1526455A" w14:textId="783F5074" w:rsidR="00182F9B" w:rsidRPr="00182F9B" w:rsidRDefault="00182F9B" w:rsidP="00182F9B"/>
    <w:p w14:paraId="2FFE6C46" w14:textId="4E8C9644" w:rsidR="00182F9B" w:rsidRPr="00182F9B" w:rsidRDefault="00182F9B" w:rsidP="00182F9B"/>
    <w:p w14:paraId="026D8A92" w14:textId="3F69AAAD" w:rsidR="00182F9B" w:rsidRPr="00182F9B" w:rsidRDefault="00182F9B" w:rsidP="00182F9B"/>
    <w:p w14:paraId="53C58C0F" w14:textId="5C9B0ACB" w:rsidR="00182F9B" w:rsidRPr="00182F9B" w:rsidRDefault="00182F9B" w:rsidP="00182F9B"/>
    <w:p w14:paraId="42F9E470" w14:textId="11E464AA" w:rsidR="00182F9B" w:rsidRDefault="00182F9B" w:rsidP="00182F9B">
      <w:pPr>
        <w:tabs>
          <w:tab w:val="left" w:pos="1116"/>
        </w:tabs>
      </w:pPr>
      <w:r>
        <w:tab/>
      </w:r>
    </w:p>
    <w:p w14:paraId="01F688CE" w14:textId="69EAFF68" w:rsidR="00182F9B" w:rsidRDefault="00182F9B" w:rsidP="00182F9B">
      <w:pPr>
        <w:tabs>
          <w:tab w:val="left" w:pos="1116"/>
        </w:tabs>
      </w:pPr>
    </w:p>
    <w:p w14:paraId="775517F1" w14:textId="16845D42" w:rsidR="00182F9B" w:rsidRDefault="00182F9B" w:rsidP="00182F9B">
      <w:pPr>
        <w:tabs>
          <w:tab w:val="left" w:pos="1116"/>
        </w:tabs>
      </w:pPr>
    </w:p>
    <w:p w14:paraId="6EFA653F" w14:textId="170B0B8A" w:rsidR="00182F9B" w:rsidRDefault="00182F9B" w:rsidP="00182F9B">
      <w:pPr>
        <w:tabs>
          <w:tab w:val="left" w:pos="1116"/>
        </w:tabs>
      </w:pPr>
    </w:p>
    <w:p w14:paraId="1DC6651B" w14:textId="5F218A95" w:rsidR="00182F9B" w:rsidRDefault="00182F9B" w:rsidP="00182F9B">
      <w:pPr>
        <w:tabs>
          <w:tab w:val="left" w:pos="1116"/>
        </w:tabs>
      </w:pPr>
    </w:p>
    <w:p w14:paraId="24CE64CD" w14:textId="1CFDCAD1" w:rsidR="00182F9B" w:rsidRDefault="00182F9B" w:rsidP="00182F9B">
      <w:pPr>
        <w:tabs>
          <w:tab w:val="left" w:pos="1116"/>
        </w:tabs>
      </w:pPr>
    </w:p>
    <w:p w14:paraId="4F5A6C32" w14:textId="5AF5A3D0" w:rsidR="00182F9B" w:rsidRDefault="00182F9B" w:rsidP="00182F9B">
      <w:pPr>
        <w:tabs>
          <w:tab w:val="left" w:pos="1116"/>
        </w:tabs>
      </w:pPr>
    </w:p>
    <w:sdt>
      <w:sdtPr>
        <w:rPr>
          <w:rFonts w:ascii="Times New Roman" w:eastAsia="宋体" w:hAnsi="Times New Roman" w:cs="Times New Roman"/>
          <w:color w:val="auto"/>
          <w:sz w:val="21"/>
          <w:szCs w:val="20"/>
          <w:lang w:val="zh-CN"/>
        </w:rPr>
        <w:id w:val="12574595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/>
          <w:sz w:val="22"/>
          <w:szCs w:val="22"/>
        </w:rPr>
      </w:sdtEndPr>
      <w:sdtContent>
        <w:p w14:paraId="3E0AC08F" w14:textId="737C313B" w:rsidR="00AC0872" w:rsidRPr="00AC0872" w:rsidRDefault="00AC0872" w:rsidP="00AC0872">
          <w:pPr>
            <w:pStyle w:val="TOC"/>
            <w:jc w:val="center"/>
            <w:rPr>
              <w:sz w:val="44"/>
              <w:szCs w:val="44"/>
            </w:rPr>
          </w:pPr>
          <w:r w:rsidRPr="00AC0872">
            <w:rPr>
              <w:sz w:val="44"/>
              <w:szCs w:val="44"/>
              <w:lang w:val="zh-CN"/>
            </w:rPr>
            <w:t>目录</w:t>
          </w:r>
        </w:p>
        <w:p w14:paraId="3D89F9B4" w14:textId="012DCECB" w:rsidR="00AC0872" w:rsidRDefault="00984886">
          <w:pPr>
            <w:pStyle w:val="TOC1"/>
          </w:pPr>
          <w:r>
            <w:rPr>
              <w:b/>
              <w:bCs/>
            </w:rPr>
            <w:t>1.</w:t>
          </w:r>
          <w:r>
            <w:rPr>
              <w:rFonts w:hint="eastAsia"/>
              <w:b/>
              <w:bCs/>
            </w:rPr>
            <w:t>项目概况</w:t>
          </w:r>
          <w:r w:rsidR="00AC0872">
            <w:ptab w:relativeTo="margin" w:alignment="right" w:leader="dot"/>
          </w:r>
          <w:r w:rsidR="00533811" w:rsidRPr="00533811">
            <w:rPr>
              <w:lang w:val="zh-CN"/>
            </w:rPr>
            <w:t>3</w:t>
          </w:r>
        </w:p>
        <w:p w14:paraId="713D3A5E" w14:textId="51777118" w:rsidR="00AC0872" w:rsidRDefault="00F51AC2">
          <w:pPr>
            <w:pStyle w:val="TOC2"/>
            <w:ind w:left="216"/>
          </w:pPr>
          <w:r>
            <w:t>1.1</w:t>
          </w:r>
          <w:r>
            <w:rPr>
              <w:rFonts w:hint="eastAsia"/>
            </w:rPr>
            <w:t>项目基本信息</w:t>
          </w:r>
          <w:r w:rsidR="00AC0872">
            <w:ptab w:relativeTo="margin" w:alignment="right" w:leader="dot"/>
          </w:r>
          <w:r w:rsidR="00533811">
            <w:rPr>
              <w:lang w:val="zh-CN"/>
            </w:rPr>
            <w:t>3</w:t>
          </w:r>
        </w:p>
        <w:p w14:paraId="54F50908" w14:textId="55B51D30" w:rsidR="00AC0872" w:rsidRDefault="00F51AC2" w:rsidP="00F51AC2">
          <w:pPr>
            <w:pStyle w:val="TOC2"/>
            <w:ind w:left="216"/>
          </w:pPr>
          <w:r>
            <w:t>1.2</w:t>
          </w:r>
          <w:r>
            <w:rPr>
              <w:rFonts w:hint="eastAsia"/>
            </w:rPr>
            <w:t>建筑平面图</w:t>
          </w:r>
          <w:r>
            <w:ptab w:relativeTo="margin" w:alignment="right" w:leader="dot"/>
          </w:r>
          <w:r w:rsidR="00533811">
            <w:rPr>
              <w:lang w:val="zh-CN"/>
            </w:rPr>
            <w:t>3</w:t>
          </w:r>
        </w:p>
        <w:p w14:paraId="57684C80" w14:textId="5320B2DB" w:rsidR="00AC0872" w:rsidRDefault="00F51AC2">
          <w:pPr>
            <w:pStyle w:val="TOC1"/>
          </w:pPr>
          <w:r>
            <w:rPr>
              <w:b/>
              <w:bCs/>
            </w:rPr>
            <w:t>2.</w:t>
          </w:r>
          <w:r>
            <w:rPr>
              <w:rFonts w:hint="eastAsia"/>
              <w:b/>
              <w:bCs/>
            </w:rPr>
            <w:t>参考标准</w:t>
          </w:r>
          <w:r w:rsidR="00AC0872">
            <w:ptab w:relativeTo="margin" w:alignment="right" w:leader="dot"/>
          </w:r>
          <w:r w:rsidR="00AC0872" w:rsidRPr="00533811">
            <w:rPr>
              <w:lang w:val="zh-CN"/>
            </w:rPr>
            <w:t>4</w:t>
          </w:r>
        </w:p>
        <w:p w14:paraId="281CA503" w14:textId="2586615F" w:rsidR="00984886" w:rsidRDefault="00F51AC2" w:rsidP="00984886">
          <w:pPr>
            <w:pStyle w:val="TOC1"/>
          </w:pPr>
          <w:r>
            <w:rPr>
              <w:b/>
              <w:bCs/>
            </w:rPr>
            <w:t>3.</w:t>
          </w:r>
          <w:r>
            <w:rPr>
              <w:rFonts w:hint="eastAsia"/>
              <w:b/>
              <w:bCs/>
            </w:rPr>
            <w:t>计算结果</w:t>
          </w:r>
          <w:r w:rsidR="00984886">
            <w:ptab w:relativeTo="margin" w:alignment="right" w:leader="dot"/>
          </w:r>
          <w:r w:rsidR="00984886" w:rsidRPr="00533811">
            <w:rPr>
              <w:lang w:val="zh-CN"/>
            </w:rPr>
            <w:t>4</w:t>
          </w:r>
        </w:p>
        <w:p w14:paraId="6DF3328A" w14:textId="21767C47" w:rsidR="00984886" w:rsidRDefault="00F51AC2" w:rsidP="00984886">
          <w:pPr>
            <w:pStyle w:val="TOC2"/>
            <w:ind w:left="216"/>
            <w:rPr>
              <w:lang w:val="zh-CN"/>
            </w:rPr>
          </w:pPr>
          <w:r w:rsidRPr="00F51AC2">
            <w:rPr>
              <w:rFonts w:hint="eastAsia"/>
            </w:rPr>
            <w:t>3.1.绿色建筑颗粒物达标结论</w:t>
          </w:r>
          <w:r w:rsidR="00984886">
            <w:ptab w:relativeTo="margin" w:alignment="right" w:leader="dot"/>
          </w:r>
          <w:r w:rsidR="00533811">
            <w:rPr>
              <w:lang w:val="zh-CN"/>
            </w:rPr>
            <w:t>4</w:t>
          </w:r>
        </w:p>
        <w:p w14:paraId="0B2F653E" w14:textId="0DB3526F" w:rsidR="00F51AC2" w:rsidRPr="00F51AC2" w:rsidRDefault="00F51AC2" w:rsidP="00F51AC2">
          <w:pPr>
            <w:pStyle w:val="TOC2"/>
            <w:ind w:left="216"/>
            <w:rPr>
              <w:lang w:val="zh-CN"/>
            </w:rPr>
          </w:pPr>
          <w:r w:rsidRPr="00F51AC2">
            <w:rPr>
              <w:rFonts w:hint="eastAsia"/>
            </w:rPr>
            <w:t>3.2.绿色建筑有机物达标结论</w:t>
          </w:r>
          <w:r>
            <w:ptab w:relativeTo="margin" w:alignment="right" w:leader="dot"/>
          </w:r>
          <w:r w:rsidR="00533811">
            <w:rPr>
              <w:lang w:val="zh-CN"/>
            </w:rPr>
            <w:t>4</w:t>
          </w:r>
        </w:p>
        <w:p w14:paraId="0C56CA7F" w14:textId="579D47AA" w:rsidR="00AC0872" w:rsidRPr="00F51AC2" w:rsidRDefault="00F51AC2" w:rsidP="00F51AC2">
          <w:pPr>
            <w:pStyle w:val="TOC1"/>
          </w:pPr>
          <w:r>
            <w:rPr>
              <w:b/>
              <w:bCs/>
            </w:rPr>
            <w:t>4.</w:t>
          </w:r>
          <w:r>
            <w:rPr>
              <w:rFonts w:hint="eastAsia"/>
              <w:b/>
              <w:bCs/>
            </w:rPr>
            <w:t>结论</w:t>
          </w:r>
          <w:r w:rsidR="00984886">
            <w:ptab w:relativeTo="margin" w:alignment="right" w:leader="dot"/>
          </w:r>
          <w:r w:rsidR="00533811" w:rsidRPr="00533811">
            <w:rPr>
              <w:lang w:val="zh-CN"/>
            </w:rPr>
            <w:t>5</w:t>
          </w:r>
        </w:p>
      </w:sdtContent>
    </w:sdt>
    <w:p w14:paraId="1C9A40C0" w14:textId="64B2C596" w:rsidR="00182F9B" w:rsidRDefault="00182F9B" w:rsidP="00182F9B">
      <w:pPr>
        <w:tabs>
          <w:tab w:val="left" w:pos="1116"/>
        </w:tabs>
      </w:pPr>
    </w:p>
    <w:p w14:paraId="39530267" w14:textId="40900D5F" w:rsidR="00182F9B" w:rsidRDefault="00182F9B" w:rsidP="00182F9B">
      <w:pPr>
        <w:tabs>
          <w:tab w:val="left" w:pos="1116"/>
        </w:tabs>
      </w:pPr>
    </w:p>
    <w:p w14:paraId="715DDB30" w14:textId="38AEACEF" w:rsidR="00182F9B" w:rsidRDefault="00182F9B" w:rsidP="00182F9B">
      <w:pPr>
        <w:tabs>
          <w:tab w:val="left" w:pos="1116"/>
        </w:tabs>
      </w:pPr>
    </w:p>
    <w:p w14:paraId="202D2744" w14:textId="7F481864" w:rsidR="00182F9B" w:rsidRDefault="00182F9B" w:rsidP="00182F9B">
      <w:pPr>
        <w:tabs>
          <w:tab w:val="left" w:pos="1116"/>
        </w:tabs>
      </w:pPr>
    </w:p>
    <w:p w14:paraId="0BDCB97B" w14:textId="2DC44E9E" w:rsidR="00182F9B" w:rsidRDefault="00182F9B" w:rsidP="00182F9B">
      <w:pPr>
        <w:tabs>
          <w:tab w:val="left" w:pos="1116"/>
        </w:tabs>
      </w:pPr>
    </w:p>
    <w:p w14:paraId="5F08E04F" w14:textId="72921987" w:rsidR="00182F9B" w:rsidRDefault="00182F9B" w:rsidP="00182F9B">
      <w:pPr>
        <w:tabs>
          <w:tab w:val="left" w:pos="1116"/>
        </w:tabs>
      </w:pPr>
    </w:p>
    <w:p w14:paraId="69EA4049" w14:textId="5AB10E41" w:rsidR="00182F9B" w:rsidRDefault="00182F9B" w:rsidP="00182F9B">
      <w:pPr>
        <w:tabs>
          <w:tab w:val="left" w:pos="1116"/>
        </w:tabs>
      </w:pPr>
    </w:p>
    <w:p w14:paraId="557CB65E" w14:textId="2C6D1D6D" w:rsidR="00182F9B" w:rsidRDefault="00182F9B" w:rsidP="00182F9B">
      <w:pPr>
        <w:tabs>
          <w:tab w:val="left" w:pos="1116"/>
        </w:tabs>
      </w:pPr>
    </w:p>
    <w:p w14:paraId="710E99F0" w14:textId="583486FE" w:rsidR="00182F9B" w:rsidRDefault="00182F9B" w:rsidP="00182F9B">
      <w:pPr>
        <w:tabs>
          <w:tab w:val="left" w:pos="1116"/>
        </w:tabs>
      </w:pPr>
    </w:p>
    <w:p w14:paraId="722BB362" w14:textId="118DB323" w:rsidR="00182F9B" w:rsidRDefault="00182F9B" w:rsidP="00182F9B">
      <w:pPr>
        <w:tabs>
          <w:tab w:val="left" w:pos="1116"/>
        </w:tabs>
      </w:pPr>
    </w:p>
    <w:p w14:paraId="041DF500" w14:textId="0C4CA5B8" w:rsidR="00182F9B" w:rsidRDefault="00182F9B" w:rsidP="00182F9B">
      <w:pPr>
        <w:tabs>
          <w:tab w:val="left" w:pos="1116"/>
        </w:tabs>
      </w:pPr>
    </w:p>
    <w:p w14:paraId="737E3777" w14:textId="4C22D634" w:rsidR="00182F9B" w:rsidRDefault="00182F9B" w:rsidP="00182F9B">
      <w:pPr>
        <w:tabs>
          <w:tab w:val="left" w:pos="1116"/>
        </w:tabs>
      </w:pPr>
    </w:p>
    <w:p w14:paraId="743EEA83" w14:textId="04CA1426" w:rsidR="00182F9B" w:rsidRDefault="00182F9B" w:rsidP="00182F9B">
      <w:pPr>
        <w:tabs>
          <w:tab w:val="left" w:pos="1116"/>
        </w:tabs>
      </w:pPr>
    </w:p>
    <w:p w14:paraId="5773AFDF" w14:textId="70435BD9" w:rsidR="00F51AC2" w:rsidRDefault="00F51AC2" w:rsidP="00182F9B">
      <w:pPr>
        <w:tabs>
          <w:tab w:val="left" w:pos="1116"/>
        </w:tabs>
      </w:pPr>
    </w:p>
    <w:p w14:paraId="632782F3" w14:textId="7DD7980A" w:rsidR="00F51AC2" w:rsidRDefault="00F51AC2" w:rsidP="00182F9B">
      <w:pPr>
        <w:tabs>
          <w:tab w:val="left" w:pos="1116"/>
        </w:tabs>
      </w:pPr>
    </w:p>
    <w:p w14:paraId="52F0A9D3" w14:textId="75AFD698" w:rsidR="00F51AC2" w:rsidRDefault="00F51AC2" w:rsidP="00182F9B">
      <w:pPr>
        <w:tabs>
          <w:tab w:val="left" w:pos="1116"/>
        </w:tabs>
      </w:pPr>
    </w:p>
    <w:p w14:paraId="75C88857" w14:textId="29236D04" w:rsidR="00F51AC2" w:rsidRDefault="00F51AC2" w:rsidP="00182F9B">
      <w:pPr>
        <w:tabs>
          <w:tab w:val="left" w:pos="1116"/>
        </w:tabs>
      </w:pPr>
    </w:p>
    <w:p w14:paraId="4F19EC39" w14:textId="30882245" w:rsidR="00F51AC2" w:rsidRDefault="00F51AC2" w:rsidP="00182F9B">
      <w:pPr>
        <w:tabs>
          <w:tab w:val="left" w:pos="1116"/>
        </w:tabs>
      </w:pPr>
    </w:p>
    <w:p w14:paraId="7197898E" w14:textId="5D84FA48" w:rsidR="00F51AC2" w:rsidRDefault="00F51AC2" w:rsidP="00182F9B">
      <w:pPr>
        <w:tabs>
          <w:tab w:val="left" w:pos="1116"/>
        </w:tabs>
      </w:pPr>
    </w:p>
    <w:p w14:paraId="518272FF" w14:textId="77777777" w:rsidR="00F51AC2" w:rsidRDefault="00F51AC2" w:rsidP="00182F9B">
      <w:pPr>
        <w:tabs>
          <w:tab w:val="left" w:pos="1116"/>
        </w:tabs>
      </w:pPr>
    </w:p>
    <w:p w14:paraId="1D32E790" w14:textId="5DC7E834" w:rsidR="00182F9B" w:rsidRPr="00AC0872" w:rsidRDefault="00AC0872" w:rsidP="00AC0872">
      <w:pPr>
        <w:tabs>
          <w:tab w:val="left" w:pos="1116"/>
        </w:tabs>
        <w:rPr>
          <w:rFonts w:ascii="宋体" w:hAnsi="宋体"/>
          <w:b/>
          <w:bCs/>
          <w:sz w:val="28"/>
          <w:szCs w:val="28"/>
        </w:rPr>
      </w:pPr>
      <w:r w:rsidRPr="00AC0872">
        <w:rPr>
          <w:rFonts w:ascii="宋体" w:hAnsi="宋体" w:hint="eastAsia"/>
          <w:b/>
          <w:bCs/>
          <w:sz w:val="28"/>
          <w:szCs w:val="28"/>
        </w:rPr>
        <w:lastRenderedPageBreak/>
        <w:t>1</w:t>
      </w:r>
      <w:r w:rsidRPr="00AC0872">
        <w:rPr>
          <w:rFonts w:ascii="宋体" w:hAnsi="宋体"/>
          <w:b/>
          <w:bCs/>
          <w:sz w:val="28"/>
          <w:szCs w:val="28"/>
        </w:rPr>
        <w:t>.</w:t>
      </w:r>
      <w:r w:rsidR="00182F9B" w:rsidRPr="00AC0872">
        <w:rPr>
          <w:rFonts w:ascii="宋体" w:hAnsi="宋体" w:hint="eastAsia"/>
          <w:b/>
          <w:bCs/>
          <w:sz w:val="28"/>
          <w:szCs w:val="28"/>
        </w:rPr>
        <w:t>项目概况</w:t>
      </w:r>
    </w:p>
    <w:p w14:paraId="5DE1C7D0" w14:textId="14018836" w:rsidR="00182F9B" w:rsidRPr="00AC0872" w:rsidRDefault="00182F9B" w:rsidP="00182F9B">
      <w:pPr>
        <w:tabs>
          <w:tab w:val="left" w:pos="1116"/>
        </w:tabs>
        <w:rPr>
          <w:rFonts w:ascii="宋体" w:hAnsi="宋体"/>
          <w:b/>
          <w:bCs/>
          <w:sz w:val="24"/>
          <w:szCs w:val="24"/>
        </w:rPr>
      </w:pPr>
      <w:r w:rsidRPr="00AC0872">
        <w:rPr>
          <w:rFonts w:ascii="宋体" w:hAnsi="宋体" w:hint="eastAsia"/>
          <w:b/>
          <w:bCs/>
          <w:sz w:val="24"/>
          <w:szCs w:val="24"/>
        </w:rPr>
        <w:t>1</w:t>
      </w:r>
      <w:r w:rsidRPr="00AC0872">
        <w:rPr>
          <w:rFonts w:ascii="宋体" w:hAnsi="宋体"/>
          <w:b/>
          <w:bCs/>
          <w:sz w:val="24"/>
          <w:szCs w:val="24"/>
        </w:rPr>
        <w:t>.1</w:t>
      </w:r>
      <w:r w:rsidRPr="00AC0872">
        <w:rPr>
          <w:rFonts w:ascii="宋体" w:hAnsi="宋体" w:hint="eastAsia"/>
          <w:b/>
          <w:bCs/>
          <w:sz w:val="24"/>
          <w:szCs w:val="24"/>
        </w:rPr>
        <w:t>建筑基本信息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82F9B" w:rsidRPr="00182F9B" w14:paraId="1E91C6D1" w14:textId="77777777" w:rsidTr="006F55D0">
        <w:tc>
          <w:tcPr>
            <w:tcW w:w="2074" w:type="dxa"/>
          </w:tcPr>
          <w:p w14:paraId="39DABDCC" w14:textId="77777777" w:rsidR="00182F9B" w:rsidRPr="00AC0872" w:rsidRDefault="00182F9B" w:rsidP="00182F9B">
            <w:pPr>
              <w:rPr>
                <w:rFonts w:ascii="宋体" w:hAnsi="宋体"/>
                <w:sz w:val="24"/>
                <w:szCs w:val="24"/>
              </w:rPr>
            </w:pPr>
            <w:r w:rsidRPr="00AC0872">
              <w:rPr>
                <w:rFonts w:ascii="宋体" w:hAnsi="宋体" w:hint="eastAsia"/>
                <w:sz w:val="24"/>
                <w:szCs w:val="24"/>
              </w:rPr>
              <w:t>建筑名称</w:t>
            </w:r>
          </w:p>
        </w:tc>
        <w:tc>
          <w:tcPr>
            <w:tcW w:w="2074" w:type="dxa"/>
          </w:tcPr>
          <w:p w14:paraId="5629A217" w14:textId="748B0A8F" w:rsidR="00182F9B" w:rsidRPr="00AC0872" w:rsidRDefault="00182F9B" w:rsidP="00182F9B">
            <w:pPr>
              <w:rPr>
                <w:rFonts w:ascii="宋体" w:hAnsi="宋体"/>
                <w:sz w:val="24"/>
                <w:szCs w:val="24"/>
              </w:rPr>
            </w:pPr>
            <w:r w:rsidRPr="00AC0872">
              <w:rPr>
                <w:rFonts w:ascii="宋体" w:hAnsi="宋体" w:hint="eastAsia"/>
                <w:sz w:val="24"/>
                <w:szCs w:val="24"/>
              </w:rPr>
              <w:t>艺术中心综合楼</w:t>
            </w:r>
          </w:p>
        </w:tc>
        <w:tc>
          <w:tcPr>
            <w:tcW w:w="2074" w:type="dxa"/>
          </w:tcPr>
          <w:p w14:paraId="2818C8C8" w14:textId="5D4E1C51" w:rsidR="00182F9B" w:rsidRPr="00AC0872" w:rsidRDefault="00182F9B" w:rsidP="00182F9B">
            <w:pPr>
              <w:rPr>
                <w:rFonts w:ascii="宋体" w:hAnsi="宋体"/>
                <w:sz w:val="24"/>
                <w:szCs w:val="24"/>
              </w:rPr>
            </w:pPr>
            <w:r w:rsidRPr="00AC0872">
              <w:rPr>
                <w:rFonts w:ascii="宋体" w:hAnsi="宋体" w:hint="eastAsia"/>
                <w:sz w:val="24"/>
                <w:szCs w:val="24"/>
              </w:rPr>
              <w:t>地理位置</w:t>
            </w:r>
          </w:p>
        </w:tc>
        <w:tc>
          <w:tcPr>
            <w:tcW w:w="2074" w:type="dxa"/>
          </w:tcPr>
          <w:p w14:paraId="163C3389" w14:textId="31053373" w:rsidR="00182F9B" w:rsidRPr="00AC0872" w:rsidRDefault="00182F9B" w:rsidP="00182F9B">
            <w:pPr>
              <w:rPr>
                <w:rFonts w:ascii="宋体" w:hAnsi="宋体"/>
                <w:sz w:val="24"/>
                <w:szCs w:val="24"/>
              </w:rPr>
            </w:pPr>
            <w:r w:rsidRPr="00AC0872">
              <w:rPr>
                <w:rFonts w:ascii="宋体" w:hAnsi="宋体" w:hint="eastAsia"/>
                <w:sz w:val="24"/>
                <w:szCs w:val="24"/>
              </w:rPr>
              <w:t>江苏南通</w:t>
            </w:r>
          </w:p>
        </w:tc>
      </w:tr>
      <w:tr w:rsidR="00182F9B" w:rsidRPr="00182F9B" w14:paraId="7B22FE9E" w14:textId="77777777" w:rsidTr="006F55D0">
        <w:tc>
          <w:tcPr>
            <w:tcW w:w="2074" w:type="dxa"/>
          </w:tcPr>
          <w:p w14:paraId="598514AB" w14:textId="77777777" w:rsidR="00182F9B" w:rsidRPr="00AC0872" w:rsidRDefault="00182F9B" w:rsidP="00182F9B">
            <w:pPr>
              <w:rPr>
                <w:rFonts w:ascii="宋体" w:hAnsi="宋体"/>
                <w:sz w:val="24"/>
                <w:szCs w:val="24"/>
              </w:rPr>
            </w:pPr>
            <w:r w:rsidRPr="00AC0872">
              <w:rPr>
                <w:rFonts w:ascii="宋体" w:hAnsi="宋体" w:hint="eastAsia"/>
                <w:sz w:val="24"/>
                <w:szCs w:val="24"/>
              </w:rPr>
              <w:t>建筑面积</w:t>
            </w:r>
          </w:p>
        </w:tc>
        <w:tc>
          <w:tcPr>
            <w:tcW w:w="2074" w:type="dxa"/>
          </w:tcPr>
          <w:p w14:paraId="25E35B34" w14:textId="122C5F9F" w:rsidR="00182F9B" w:rsidRPr="00AC0872" w:rsidRDefault="00182F9B" w:rsidP="00182F9B">
            <w:pPr>
              <w:rPr>
                <w:rFonts w:ascii="宋体" w:hAnsi="宋体"/>
                <w:sz w:val="24"/>
                <w:szCs w:val="24"/>
              </w:rPr>
            </w:pPr>
            <w:r w:rsidRPr="00AC0872">
              <w:rPr>
                <w:rFonts w:ascii="宋体" w:hAnsi="宋体" w:hint="eastAsia"/>
                <w:sz w:val="24"/>
                <w:szCs w:val="24"/>
              </w:rPr>
              <w:t>6</w:t>
            </w:r>
            <w:r w:rsidRPr="00AC0872">
              <w:rPr>
                <w:rFonts w:ascii="宋体" w:hAnsi="宋体"/>
                <w:sz w:val="24"/>
                <w:szCs w:val="24"/>
              </w:rPr>
              <w:t>339.39m2</w:t>
            </w:r>
          </w:p>
        </w:tc>
        <w:tc>
          <w:tcPr>
            <w:tcW w:w="2074" w:type="dxa"/>
          </w:tcPr>
          <w:p w14:paraId="52A6DAF0" w14:textId="18A1369B" w:rsidR="00182F9B" w:rsidRPr="00AC0872" w:rsidRDefault="00182F9B" w:rsidP="00182F9B">
            <w:pPr>
              <w:rPr>
                <w:rFonts w:ascii="宋体" w:hAnsi="宋体"/>
                <w:sz w:val="24"/>
                <w:szCs w:val="24"/>
              </w:rPr>
            </w:pPr>
            <w:r w:rsidRPr="00AC0872">
              <w:rPr>
                <w:rFonts w:ascii="宋体" w:hAnsi="宋体" w:hint="eastAsia"/>
                <w:sz w:val="24"/>
                <w:szCs w:val="24"/>
              </w:rPr>
              <w:t>建筑高度</w:t>
            </w:r>
          </w:p>
        </w:tc>
        <w:tc>
          <w:tcPr>
            <w:tcW w:w="2074" w:type="dxa"/>
          </w:tcPr>
          <w:p w14:paraId="1E2E8EA4" w14:textId="013A63C5" w:rsidR="00182F9B" w:rsidRPr="00AC0872" w:rsidRDefault="00182F9B" w:rsidP="00182F9B">
            <w:pPr>
              <w:rPr>
                <w:rFonts w:ascii="宋体" w:hAnsi="宋体"/>
                <w:sz w:val="24"/>
                <w:szCs w:val="24"/>
              </w:rPr>
            </w:pPr>
            <w:r w:rsidRPr="00AC0872">
              <w:rPr>
                <w:rFonts w:ascii="宋体" w:hAnsi="宋体" w:hint="eastAsia"/>
                <w:sz w:val="24"/>
                <w:szCs w:val="24"/>
              </w:rPr>
              <w:t>2</w:t>
            </w:r>
            <w:r w:rsidRPr="00AC0872">
              <w:rPr>
                <w:rFonts w:ascii="宋体" w:hAnsi="宋体"/>
                <w:sz w:val="24"/>
                <w:szCs w:val="24"/>
              </w:rPr>
              <w:t>0.7m</w:t>
            </w:r>
          </w:p>
        </w:tc>
      </w:tr>
    </w:tbl>
    <w:p w14:paraId="66408E85" w14:textId="04EB291B" w:rsidR="00182F9B" w:rsidRPr="00AC0872" w:rsidRDefault="00182F9B" w:rsidP="00182F9B">
      <w:pPr>
        <w:tabs>
          <w:tab w:val="left" w:pos="1116"/>
        </w:tabs>
        <w:rPr>
          <w:rFonts w:ascii="宋体" w:hAnsi="宋体"/>
          <w:b/>
          <w:bCs/>
          <w:sz w:val="24"/>
          <w:szCs w:val="24"/>
        </w:rPr>
      </w:pPr>
      <w:r w:rsidRPr="00AC0872">
        <w:rPr>
          <w:rFonts w:ascii="宋体" w:hAnsi="宋体" w:hint="eastAsia"/>
          <w:b/>
          <w:bCs/>
          <w:sz w:val="24"/>
          <w:szCs w:val="24"/>
        </w:rPr>
        <w:t>1</w:t>
      </w:r>
      <w:r w:rsidRPr="00AC0872">
        <w:rPr>
          <w:rFonts w:ascii="宋体" w:hAnsi="宋体"/>
          <w:b/>
          <w:bCs/>
          <w:sz w:val="24"/>
          <w:szCs w:val="24"/>
        </w:rPr>
        <w:t>.2</w:t>
      </w:r>
      <w:r w:rsidRPr="00AC0872">
        <w:rPr>
          <w:rFonts w:ascii="宋体" w:hAnsi="宋体" w:hint="eastAsia"/>
          <w:b/>
          <w:bCs/>
          <w:sz w:val="24"/>
          <w:szCs w:val="24"/>
        </w:rPr>
        <w:t>建筑平面图</w:t>
      </w:r>
    </w:p>
    <w:p w14:paraId="3C3E7C02" w14:textId="2F1E3AC5" w:rsidR="00182F9B" w:rsidRDefault="00182F9B" w:rsidP="00182F9B">
      <w:pPr>
        <w:tabs>
          <w:tab w:val="left" w:pos="1116"/>
        </w:tabs>
      </w:pPr>
      <w:r w:rsidRPr="00182F9B">
        <w:rPr>
          <w:noProof/>
        </w:rPr>
        <w:drawing>
          <wp:inline distT="0" distB="0" distL="0" distR="0" wp14:anchorId="5C2B8412" wp14:editId="18F299F0">
            <wp:extent cx="4552950" cy="3651240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005" cy="365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16A5D" w14:textId="6E7C54C3" w:rsidR="003E0ECB" w:rsidRPr="00AC0872" w:rsidRDefault="00AC0872" w:rsidP="00182F9B">
      <w:pPr>
        <w:tabs>
          <w:tab w:val="left" w:pos="1116"/>
        </w:tabs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</w:t>
      </w:r>
      <w:r>
        <w:rPr>
          <w:rFonts w:ascii="宋体" w:hAnsi="宋体"/>
          <w:b/>
          <w:bCs/>
          <w:sz w:val="28"/>
          <w:szCs w:val="28"/>
        </w:rPr>
        <w:t>.</w:t>
      </w:r>
      <w:r w:rsidR="003E0ECB" w:rsidRPr="00AC0872">
        <w:rPr>
          <w:rFonts w:ascii="宋体" w:hAnsi="宋体" w:hint="eastAsia"/>
          <w:b/>
          <w:bCs/>
          <w:sz w:val="28"/>
          <w:szCs w:val="28"/>
        </w:rPr>
        <w:t>参考标准</w:t>
      </w:r>
    </w:p>
    <w:p w14:paraId="59EB412C" w14:textId="766EC5B9" w:rsidR="008E70DC" w:rsidRPr="00AC0872" w:rsidRDefault="00F51AC2" w:rsidP="008E70DC">
      <w:pPr>
        <w:tabs>
          <w:tab w:val="left" w:pos="1116"/>
        </w:tabs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</w:t>
      </w:r>
      <w:r w:rsidR="008E70DC" w:rsidRPr="00AC0872">
        <w:rPr>
          <w:rFonts w:ascii="宋体" w:hAnsi="宋体" w:hint="eastAsia"/>
          <w:sz w:val="24"/>
          <w:szCs w:val="24"/>
        </w:rPr>
        <w:t>条文要求:</w:t>
      </w:r>
    </w:p>
    <w:p w14:paraId="1E226A64" w14:textId="69CD6CEE" w:rsidR="008E70DC" w:rsidRPr="00AC0872" w:rsidRDefault="008E70DC" w:rsidP="008E70DC">
      <w:pPr>
        <w:tabs>
          <w:tab w:val="left" w:pos="1116"/>
        </w:tabs>
        <w:rPr>
          <w:rFonts w:ascii="宋体" w:hAnsi="宋体"/>
          <w:sz w:val="24"/>
          <w:szCs w:val="24"/>
        </w:rPr>
      </w:pPr>
      <w:r w:rsidRPr="00AC0872">
        <w:rPr>
          <w:rFonts w:ascii="宋体" w:hAnsi="宋体" w:hint="eastAsia"/>
          <w:b/>
          <w:bCs/>
          <w:sz w:val="24"/>
          <w:szCs w:val="24"/>
        </w:rPr>
        <w:t>评分项</w:t>
      </w:r>
      <w:r w:rsidRPr="00AC0872">
        <w:rPr>
          <w:rFonts w:ascii="宋体" w:hAnsi="宋体"/>
          <w:sz w:val="24"/>
          <w:szCs w:val="24"/>
        </w:rPr>
        <w:t xml:space="preserve"> </w:t>
      </w:r>
      <w:r w:rsidRPr="00AC0872">
        <w:rPr>
          <w:rFonts w:ascii="宋体" w:hAnsi="宋体" w:hint="eastAsia"/>
          <w:sz w:val="24"/>
          <w:szCs w:val="24"/>
        </w:rPr>
        <w:t>5.2.1 室内PM2.5年均浓度不高于25μg/ m3,且室内PM10年均浓度不高于50 ug/ m3,得6分。</w:t>
      </w:r>
    </w:p>
    <w:p w14:paraId="784F25A3" w14:textId="77777777" w:rsidR="00F51AC2" w:rsidRDefault="008E70DC" w:rsidP="008E70DC">
      <w:pPr>
        <w:tabs>
          <w:tab w:val="left" w:pos="1116"/>
        </w:tabs>
        <w:rPr>
          <w:rFonts w:ascii="宋体" w:hAnsi="宋体"/>
          <w:sz w:val="24"/>
          <w:szCs w:val="24"/>
        </w:rPr>
      </w:pPr>
      <w:r w:rsidRPr="00AC0872">
        <w:rPr>
          <w:rFonts w:ascii="宋体" w:hAnsi="宋体" w:hint="eastAsia"/>
          <w:b/>
          <w:bCs/>
          <w:sz w:val="24"/>
          <w:szCs w:val="24"/>
        </w:rPr>
        <w:t>技术要求</w:t>
      </w:r>
      <w:r w:rsidRPr="00AC0872">
        <w:rPr>
          <w:rFonts w:ascii="宋体" w:hAnsi="宋体"/>
          <w:sz w:val="24"/>
          <w:szCs w:val="24"/>
        </w:rPr>
        <w:t xml:space="preserve"> </w:t>
      </w:r>
      <w:r w:rsidRPr="00AC0872">
        <w:rPr>
          <w:rFonts w:ascii="宋体" w:hAnsi="宋体" w:hint="eastAsia"/>
          <w:sz w:val="24"/>
          <w:szCs w:val="24"/>
        </w:rPr>
        <w:t>3.2.8室内空气中的氨、甲醛、苯、总挥发性有机物、氢、可吸入颗粒物等主要污染物浓度降低达到10%为一星级要求;达到20 %为二星级和三星级要求。</w:t>
      </w:r>
    </w:p>
    <w:p w14:paraId="10CEB55F" w14:textId="0222659C" w:rsidR="008E70DC" w:rsidRPr="00AC0872" w:rsidRDefault="00F51AC2" w:rsidP="008E70DC">
      <w:pPr>
        <w:tabs>
          <w:tab w:val="left" w:pos="1116"/>
        </w:tabs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</w:t>
      </w:r>
      <w:r w:rsidR="008E70DC" w:rsidRPr="00AC0872">
        <w:rPr>
          <w:rFonts w:ascii="宋体" w:hAnsi="宋体" w:hint="eastAsia"/>
          <w:sz w:val="24"/>
          <w:szCs w:val="24"/>
        </w:rPr>
        <w:t>条文要求:</w:t>
      </w:r>
    </w:p>
    <w:p w14:paraId="78C1BC42" w14:textId="51B55AAC" w:rsidR="008E70DC" w:rsidRPr="00AC0872" w:rsidRDefault="008E70DC" w:rsidP="008E70DC">
      <w:pPr>
        <w:tabs>
          <w:tab w:val="left" w:pos="1116"/>
        </w:tabs>
        <w:rPr>
          <w:rFonts w:ascii="宋体" w:hAnsi="宋体"/>
          <w:sz w:val="24"/>
          <w:szCs w:val="24"/>
        </w:rPr>
      </w:pPr>
      <w:r w:rsidRPr="00AC0872">
        <w:rPr>
          <w:rFonts w:ascii="宋体" w:hAnsi="宋体" w:hint="eastAsia"/>
          <w:b/>
          <w:bCs/>
          <w:sz w:val="24"/>
          <w:szCs w:val="24"/>
        </w:rPr>
        <w:t>控制项</w:t>
      </w:r>
      <w:r w:rsidRPr="00AC0872">
        <w:rPr>
          <w:rFonts w:ascii="宋体" w:hAnsi="宋体"/>
          <w:sz w:val="24"/>
          <w:szCs w:val="24"/>
        </w:rPr>
        <w:t xml:space="preserve">  </w:t>
      </w:r>
      <w:r w:rsidRPr="00AC0872">
        <w:rPr>
          <w:rFonts w:ascii="宋体" w:hAnsi="宋体" w:hint="eastAsia"/>
          <w:sz w:val="24"/>
          <w:szCs w:val="24"/>
        </w:rPr>
        <w:t>5.1.1 室内空气中的氛、甲醛、苯、总挥发性有机物TVOC、氣等污染物浓度应符合现行国家标准《室内空气质量标准》GB I T18883的有关规定。</w:t>
      </w:r>
    </w:p>
    <w:p w14:paraId="7F39F8B2" w14:textId="76E1A42B" w:rsidR="008E70DC" w:rsidRPr="00AC0872" w:rsidRDefault="008E70DC" w:rsidP="008E70DC">
      <w:pPr>
        <w:tabs>
          <w:tab w:val="left" w:pos="1116"/>
        </w:tabs>
        <w:rPr>
          <w:rFonts w:ascii="宋体" w:hAnsi="宋体"/>
          <w:sz w:val="24"/>
          <w:szCs w:val="24"/>
        </w:rPr>
      </w:pPr>
      <w:r w:rsidRPr="00AC0872">
        <w:rPr>
          <w:rFonts w:ascii="宋体" w:hAnsi="宋体" w:hint="eastAsia"/>
          <w:b/>
          <w:bCs/>
          <w:sz w:val="24"/>
          <w:szCs w:val="24"/>
        </w:rPr>
        <w:lastRenderedPageBreak/>
        <w:t>评分项</w:t>
      </w:r>
      <w:r w:rsidRPr="00AC0872">
        <w:rPr>
          <w:rFonts w:ascii="宋体" w:hAnsi="宋体"/>
          <w:sz w:val="24"/>
          <w:szCs w:val="24"/>
        </w:rPr>
        <w:t xml:space="preserve">  </w:t>
      </w:r>
      <w:r w:rsidRPr="00AC0872">
        <w:rPr>
          <w:rFonts w:ascii="宋体" w:hAnsi="宋体" w:hint="eastAsia"/>
          <w:sz w:val="24"/>
          <w:szCs w:val="24"/>
        </w:rPr>
        <w:t>5.2.1 室内空气中的氛、甲醛、苯、总挥发性有机物TVOC、氦等污染物浓度低于</w:t>
      </w:r>
    </w:p>
    <w:p w14:paraId="6700DC37" w14:textId="6E951D84" w:rsidR="008E70DC" w:rsidRPr="00AC0872" w:rsidRDefault="008E70DC" w:rsidP="008E70DC">
      <w:pPr>
        <w:tabs>
          <w:tab w:val="left" w:pos="1116"/>
        </w:tabs>
        <w:rPr>
          <w:rFonts w:ascii="宋体" w:hAnsi="宋体"/>
          <w:sz w:val="24"/>
          <w:szCs w:val="24"/>
        </w:rPr>
      </w:pPr>
      <w:r w:rsidRPr="00AC0872">
        <w:rPr>
          <w:rFonts w:ascii="宋体" w:hAnsi="宋体" w:hint="eastAsia"/>
          <w:sz w:val="24"/>
          <w:szCs w:val="24"/>
        </w:rPr>
        <w:t>现行国家标准《室内空气质量标准》GB 1 T18883规定限值的10%，得3分;低于209%</w:t>
      </w:r>
      <w:r w:rsidR="00AC0872">
        <w:rPr>
          <w:rFonts w:ascii="宋体" w:hAnsi="宋体" w:hint="eastAsia"/>
          <w:sz w:val="24"/>
          <w:szCs w:val="24"/>
        </w:rPr>
        <w:t>,</w:t>
      </w:r>
      <w:r w:rsidRPr="00AC0872">
        <w:rPr>
          <w:rFonts w:ascii="宋体" w:hAnsi="宋体" w:hint="eastAsia"/>
          <w:sz w:val="24"/>
          <w:szCs w:val="24"/>
        </w:rPr>
        <w:t>得6分;</w:t>
      </w:r>
    </w:p>
    <w:p w14:paraId="2C85E354" w14:textId="47F0AB1F" w:rsidR="008E70DC" w:rsidRPr="00AC0872" w:rsidRDefault="008E70DC" w:rsidP="008E70DC">
      <w:pPr>
        <w:tabs>
          <w:tab w:val="left" w:pos="1116"/>
        </w:tabs>
        <w:rPr>
          <w:rFonts w:ascii="宋体" w:hAnsi="宋体"/>
          <w:sz w:val="24"/>
          <w:szCs w:val="24"/>
        </w:rPr>
      </w:pPr>
      <w:r w:rsidRPr="00AC0872">
        <w:rPr>
          <w:rFonts w:ascii="宋体" w:hAnsi="宋体" w:hint="eastAsia"/>
          <w:b/>
          <w:bCs/>
          <w:sz w:val="24"/>
          <w:szCs w:val="24"/>
        </w:rPr>
        <w:t>技术要求</w:t>
      </w:r>
      <w:r w:rsidRPr="00AC0872">
        <w:rPr>
          <w:rFonts w:ascii="宋体" w:hAnsi="宋体"/>
          <w:sz w:val="24"/>
          <w:szCs w:val="24"/>
        </w:rPr>
        <w:t xml:space="preserve"> </w:t>
      </w:r>
      <w:r w:rsidRPr="00AC0872">
        <w:rPr>
          <w:rFonts w:ascii="宋体" w:hAnsi="宋体" w:hint="eastAsia"/>
          <w:sz w:val="24"/>
          <w:szCs w:val="24"/>
        </w:rPr>
        <w:t>3.2.8室内空气中的氨、甲醛、苯、总挥发性有机物、氣、可吸入颗粒物等主要污染物浓度降低达到10%为一星级要求:达到20%为二星级和三星级要求。</w:t>
      </w:r>
    </w:p>
    <w:p w14:paraId="237D7D89" w14:textId="70BA008E" w:rsidR="00182F9B" w:rsidRPr="00AC0872" w:rsidRDefault="00AC0872" w:rsidP="00182F9B">
      <w:pPr>
        <w:tabs>
          <w:tab w:val="left" w:pos="1116"/>
        </w:tabs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3</w:t>
      </w:r>
      <w:r>
        <w:rPr>
          <w:rFonts w:ascii="宋体" w:hAnsi="宋体"/>
          <w:b/>
          <w:bCs/>
          <w:sz w:val="28"/>
          <w:szCs w:val="28"/>
        </w:rPr>
        <w:t>.</w:t>
      </w:r>
      <w:r w:rsidR="003E0ECB" w:rsidRPr="00AC0872">
        <w:rPr>
          <w:rFonts w:ascii="宋体" w:hAnsi="宋体" w:hint="eastAsia"/>
          <w:b/>
          <w:bCs/>
          <w:sz w:val="28"/>
          <w:szCs w:val="28"/>
        </w:rPr>
        <w:t>计算结果</w:t>
      </w:r>
    </w:p>
    <w:p w14:paraId="7CDF8FEF" w14:textId="5CE49489" w:rsidR="008E70DC" w:rsidRPr="00AC0872" w:rsidRDefault="00AC0872" w:rsidP="00182F9B">
      <w:pPr>
        <w:tabs>
          <w:tab w:val="left" w:pos="1116"/>
        </w:tabs>
        <w:rPr>
          <w:rFonts w:ascii="宋体" w:hAnsi="宋体"/>
          <w:b/>
          <w:bCs/>
          <w:sz w:val="24"/>
          <w:szCs w:val="24"/>
        </w:rPr>
      </w:pPr>
      <w:r w:rsidRPr="00AC0872">
        <w:rPr>
          <w:rFonts w:ascii="宋体" w:hAnsi="宋体"/>
          <w:b/>
          <w:bCs/>
          <w:sz w:val="24"/>
          <w:szCs w:val="24"/>
        </w:rPr>
        <w:t>3.1</w:t>
      </w:r>
      <w:r w:rsidR="008E70DC" w:rsidRPr="00AC0872">
        <w:rPr>
          <w:rFonts w:ascii="宋体" w:hAnsi="宋体"/>
          <w:b/>
          <w:bCs/>
          <w:sz w:val="24"/>
          <w:szCs w:val="24"/>
        </w:rPr>
        <w:t>.</w:t>
      </w:r>
      <w:r w:rsidR="008E70DC" w:rsidRPr="00AC0872">
        <w:rPr>
          <w:rFonts w:ascii="宋体" w:hAnsi="宋体" w:hint="eastAsia"/>
          <w:b/>
          <w:bCs/>
          <w:sz w:val="24"/>
          <w:szCs w:val="24"/>
        </w:rPr>
        <w:t>绿色建筑颗粒物达标结论</w:t>
      </w:r>
    </w:p>
    <w:p w14:paraId="13293389" w14:textId="10D54195" w:rsidR="003E0ECB" w:rsidRDefault="008E70DC" w:rsidP="00182F9B">
      <w:pPr>
        <w:tabs>
          <w:tab w:val="left" w:pos="1116"/>
        </w:tabs>
      </w:pPr>
      <w:r w:rsidRPr="008E70DC">
        <w:rPr>
          <w:noProof/>
        </w:rPr>
        <w:drawing>
          <wp:inline distT="0" distB="0" distL="0" distR="0" wp14:anchorId="55D41567" wp14:editId="5CCA7C52">
            <wp:extent cx="5148580" cy="51816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860" cy="518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0582D" w14:textId="21CB700E" w:rsidR="003E0ECB" w:rsidRPr="00AC0872" w:rsidRDefault="00AC0872" w:rsidP="008E70DC">
      <w:pPr>
        <w:tabs>
          <w:tab w:val="left" w:pos="1116"/>
        </w:tabs>
        <w:rPr>
          <w:rFonts w:ascii="宋体" w:hAnsi="宋体"/>
          <w:b/>
          <w:bCs/>
          <w:noProof/>
          <w:sz w:val="24"/>
          <w:szCs w:val="24"/>
        </w:rPr>
      </w:pPr>
      <w:r w:rsidRPr="00AC0872">
        <w:rPr>
          <w:rFonts w:ascii="宋体" w:hAnsi="宋体"/>
          <w:b/>
          <w:bCs/>
          <w:sz w:val="24"/>
          <w:szCs w:val="24"/>
        </w:rPr>
        <w:t>3.2</w:t>
      </w:r>
      <w:r w:rsidR="008E70DC" w:rsidRPr="00AC0872">
        <w:rPr>
          <w:rFonts w:ascii="宋体" w:hAnsi="宋体"/>
          <w:b/>
          <w:bCs/>
          <w:sz w:val="24"/>
          <w:szCs w:val="24"/>
        </w:rPr>
        <w:t>.</w:t>
      </w:r>
      <w:r w:rsidR="008E70DC" w:rsidRPr="00AC0872">
        <w:rPr>
          <w:rFonts w:ascii="宋体" w:hAnsi="宋体" w:hint="eastAsia"/>
          <w:b/>
          <w:bCs/>
          <w:sz w:val="24"/>
          <w:szCs w:val="24"/>
        </w:rPr>
        <w:t>绿色建筑有机物达标结论</w:t>
      </w:r>
    </w:p>
    <w:p w14:paraId="75C583CF" w14:textId="76B4CD14" w:rsidR="008E70DC" w:rsidRDefault="008E70DC" w:rsidP="008E70DC">
      <w:pPr>
        <w:pStyle w:val="a4"/>
        <w:tabs>
          <w:tab w:val="left" w:pos="1116"/>
        </w:tabs>
        <w:ind w:left="360" w:firstLineChars="0" w:firstLine="0"/>
      </w:pPr>
      <w:r w:rsidRPr="008E70DC">
        <w:rPr>
          <w:rFonts w:hint="eastAsia"/>
          <w:noProof/>
        </w:rPr>
        <w:lastRenderedPageBreak/>
        <w:drawing>
          <wp:inline distT="0" distB="0" distL="0" distR="0" wp14:anchorId="11ACD754" wp14:editId="031B4347">
            <wp:extent cx="4909820" cy="4752975"/>
            <wp:effectExtent l="0" t="0" r="508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415" cy="476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62E04" w14:textId="5EDFDCD3" w:rsidR="00182F9B" w:rsidRPr="00AC0872" w:rsidRDefault="00AC0872" w:rsidP="00182F9B">
      <w:pPr>
        <w:tabs>
          <w:tab w:val="left" w:pos="1116"/>
        </w:tabs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4</w:t>
      </w:r>
      <w:r>
        <w:rPr>
          <w:rFonts w:ascii="宋体" w:hAnsi="宋体"/>
          <w:b/>
          <w:bCs/>
          <w:sz w:val="28"/>
          <w:szCs w:val="28"/>
        </w:rPr>
        <w:t>.</w:t>
      </w:r>
      <w:r w:rsidR="003E0ECB" w:rsidRPr="00AC0872">
        <w:rPr>
          <w:rFonts w:ascii="宋体" w:hAnsi="宋体" w:hint="eastAsia"/>
          <w:b/>
          <w:bCs/>
          <w:sz w:val="28"/>
          <w:szCs w:val="28"/>
        </w:rPr>
        <w:t>结论</w:t>
      </w:r>
    </w:p>
    <w:p w14:paraId="0B61C03E" w14:textId="30A98D92" w:rsidR="00182F9B" w:rsidRPr="00182F9B" w:rsidRDefault="003E0ECB" w:rsidP="00AC0872">
      <w:pPr>
        <w:tabs>
          <w:tab w:val="left" w:pos="1116"/>
        </w:tabs>
      </w:pPr>
      <w:r w:rsidRPr="0015048E">
        <w:rPr>
          <w:rFonts w:ascii="宋体" w:hAnsi="宋体" w:hint="eastAsia"/>
          <w:szCs w:val="21"/>
        </w:rPr>
        <w:t>综合上述达标判断的信息，可知</w:t>
      </w:r>
      <w:r w:rsidR="008E70DC">
        <w:rPr>
          <w:rFonts w:ascii="宋体" w:hAnsi="宋体" w:hint="eastAsia"/>
          <w:szCs w:val="21"/>
        </w:rPr>
        <w:t>绿色建筑颗粒物和有机物均达标，各得</w:t>
      </w:r>
      <w:r w:rsidR="008E70DC" w:rsidRPr="002D7441">
        <w:rPr>
          <w:rFonts w:ascii="宋体" w:hAnsi="宋体" w:hint="eastAsia"/>
          <w:b/>
          <w:bCs/>
          <w:szCs w:val="21"/>
        </w:rPr>
        <w:t>6分</w:t>
      </w:r>
      <w:r w:rsidR="008E70DC">
        <w:rPr>
          <w:rFonts w:ascii="宋体" w:hAnsi="宋体" w:hint="eastAsia"/>
          <w:szCs w:val="21"/>
        </w:rPr>
        <w:t>，</w:t>
      </w:r>
      <w:r w:rsidRPr="0015048E">
        <w:rPr>
          <w:rFonts w:ascii="宋体" w:hAnsi="宋体" w:hint="eastAsia"/>
          <w:szCs w:val="21"/>
        </w:rPr>
        <w:t>本项目</w:t>
      </w:r>
      <w:r w:rsidR="008E70DC">
        <w:rPr>
          <w:rFonts w:ascii="宋体" w:hAnsi="宋体" w:hint="eastAsia"/>
          <w:szCs w:val="21"/>
        </w:rPr>
        <w:t>空气质量总共可得</w:t>
      </w:r>
      <w:r w:rsidR="008E70DC" w:rsidRPr="002D7441">
        <w:rPr>
          <w:rFonts w:ascii="宋体" w:hAnsi="宋体" w:hint="eastAsia"/>
          <w:b/>
          <w:bCs/>
          <w:szCs w:val="21"/>
        </w:rPr>
        <w:t>1</w:t>
      </w:r>
      <w:r w:rsidR="008E70DC" w:rsidRPr="002D7441">
        <w:rPr>
          <w:rFonts w:ascii="宋体" w:hAnsi="宋体"/>
          <w:b/>
          <w:bCs/>
          <w:szCs w:val="21"/>
        </w:rPr>
        <w:t>2</w:t>
      </w:r>
      <w:r w:rsidR="008E70DC" w:rsidRPr="002D7441">
        <w:rPr>
          <w:rFonts w:ascii="宋体" w:hAnsi="宋体" w:hint="eastAsia"/>
          <w:b/>
          <w:bCs/>
          <w:szCs w:val="21"/>
        </w:rPr>
        <w:t>分</w:t>
      </w:r>
      <w:r w:rsidR="008E70DC">
        <w:rPr>
          <w:rFonts w:ascii="宋体" w:hAnsi="宋体" w:hint="eastAsia"/>
          <w:szCs w:val="21"/>
        </w:rPr>
        <w:t>。</w:t>
      </w:r>
    </w:p>
    <w:sectPr w:rsidR="00182F9B" w:rsidRPr="00182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22091"/>
    <w:multiLevelType w:val="hybridMultilevel"/>
    <w:tmpl w:val="B1745A42"/>
    <w:lvl w:ilvl="0" w:tplc="90161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61242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20"/>
    <w:rsid w:val="00053946"/>
    <w:rsid w:val="00151AF1"/>
    <w:rsid w:val="00182F9B"/>
    <w:rsid w:val="002167AB"/>
    <w:rsid w:val="002B6111"/>
    <w:rsid w:val="002D7441"/>
    <w:rsid w:val="0030567C"/>
    <w:rsid w:val="003E0ECB"/>
    <w:rsid w:val="004753C2"/>
    <w:rsid w:val="00533811"/>
    <w:rsid w:val="00562E20"/>
    <w:rsid w:val="006F7B20"/>
    <w:rsid w:val="008D1267"/>
    <w:rsid w:val="008E70DC"/>
    <w:rsid w:val="008F1E6A"/>
    <w:rsid w:val="009139CE"/>
    <w:rsid w:val="00984886"/>
    <w:rsid w:val="00AC0872"/>
    <w:rsid w:val="00BE5988"/>
    <w:rsid w:val="00C5535B"/>
    <w:rsid w:val="00D03ECD"/>
    <w:rsid w:val="00D90E5D"/>
    <w:rsid w:val="00DF71B5"/>
    <w:rsid w:val="00E3699E"/>
    <w:rsid w:val="00F51AC2"/>
    <w:rsid w:val="00FC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60627"/>
  <w15:chartTrackingRefBased/>
  <w15:docId w15:val="{D7DC663B-D18D-4BDE-89AC-37C5563A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AF1"/>
    <w:pPr>
      <w:spacing w:line="360" w:lineRule="auto"/>
      <w:jc w:val="both"/>
    </w:pPr>
    <w:rPr>
      <w:rFonts w:ascii="Times New Roman" w:eastAsia="宋体" w:hAnsi="Times New Roman" w:cs="Times New Roman"/>
      <w:kern w:val="0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AC08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AF1"/>
    <w:pPr>
      <w:spacing w:line="360" w:lineRule="exact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2F9B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AC0872"/>
    <w:rPr>
      <w:rFonts w:ascii="Times New Roman" w:eastAsia="宋体" w:hAnsi="Times New Roman" w:cs="Times New Roman"/>
      <w:b/>
      <w:bCs/>
      <w:kern w:val="44"/>
      <w:sz w:val="44"/>
      <w:szCs w:val="44"/>
      <w:lang w:val="en-GB"/>
    </w:rPr>
  </w:style>
  <w:style w:type="paragraph" w:styleId="TOC">
    <w:name w:val="TOC Heading"/>
    <w:basedOn w:val="1"/>
    <w:next w:val="a"/>
    <w:uiPriority w:val="39"/>
    <w:unhideWhenUsed/>
    <w:qFormat/>
    <w:rsid w:val="00AC0872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/>
    </w:rPr>
  </w:style>
  <w:style w:type="paragraph" w:styleId="TOC2">
    <w:name w:val="toc 2"/>
    <w:basedOn w:val="a"/>
    <w:next w:val="a"/>
    <w:autoRedefine/>
    <w:uiPriority w:val="39"/>
    <w:unhideWhenUsed/>
    <w:rsid w:val="00AC0872"/>
    <w:pPr>
      <w:spacing w:after="100" w:line="259" w:lineRule="auto"/>
      <w:ind w:left="220"/>
      <w:jc w:val="left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TOC1">
    <w:name w:val="toc 1"/>
    <w:basedOn w:val="a"/>
    <w:next w:val="a"/>
    <w:autoRedefine/>
    <w:uiPriority w:val="39"/>
    <w:unhideWhenUsed/>
    <w:rsid w:val="00AC0872"/>
    <w:pPr>
      <w:spacing w:after="100" w:line="259" w:lineRule="auto"/>
      <w:jc w:val="left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TOC3">
    <w:name w:val="toc 3"/>
    <w:basedOn w:val="a"/>
    <w:next w:val="a"/>
    <w:autoRedefine/>
    <w:uiPriority w:val="39"/>
    <w:unhideWhenUsed/>
    <w:rsid w:val="00AC0872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564CA-8DBB-4C5B-8D4C-A956BD40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丽</dc:creator>
  <cp:keywords/>
  <dc:description/>
  <cp:lastModifiedBy>马 丽</cp:lastModifiedBy>
  <cp:revision>41</cp:revision>
  <dcterms:created xsi:type="dcterms:W3CDTF">2022-12-30T01:12:00Z</dcterms:created>
  <dcterms:modified xsi:type="dcterms:W3CDTF">2022-12-31T04:26:00Z</dcterms:modified>
</cp:coreProperties>
</file>