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sz w:val="25"/>
          <w:szCs w:val="25"/>
        </w:rPr>
        <w:t>关于能耗监测系统及报表要求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根据能耗系统建设情况</w:t>
      </w:r>
      <w:bookmarkStart w:id="0" w:name="_GoBack"/>
      <w:bookmarkEnd w:id="0"/>
      <w:r>
        <w:rPr>
          <w:sz w:val="19"/>
          <w:szCs w:val="19"/>
        </w:rPr>
        <w:t>，能耗监测系统应满足以下要求：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一、系统基本要求：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1、 监测对象应具有分权分域管理特点；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2、 具有查看、统计分析功能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3、 查看功能具有树形结构，图、表结合的显示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4、 定期收集、定期分析、定期汇报，保证数据的真实性、准确性和及时性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5、 可实现与外部其它各专业应用系统的互联互通；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6、 定时自动采集、主动上报、随机召测功能；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7、 出现异常，系统应能实现自动预警；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8、 根据要求对数据具有存放、备份、倒换和故障恢复要求；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9、 系统安全性要求；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10、 系统具备一定容量并具有可扩展性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二、根据实际工作，报表输出要求(所有的输出都具有图、表形式)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1、按区域进行能耗信息的统计并输出；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2、能按单点、单项按日、月、年进行统计并输出；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3、能按同一类型监测对象进行能耗统计并输出；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4、能进行同一类型耗能最大topN统计并输出；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5、能进行同一类比较（标杆值）topN统计并输出；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6、能进行耗异常告警统计并输出（每天）；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三、报表统计维度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1、 县局维度：①总体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②综合机房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③营业厅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④接入网点or支局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⑤基站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⑥光进铜退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⑦其它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2、市公司维度：①软交换核心机房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②传输机房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③数据机房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④IDC机房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⑤综合办公机房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⑥空调单项统计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⑦营业厅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⑧接入网点or支局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⑨基站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19"/>
          <w:szCs w:val="19"/>
        </w:rPr>
        <w:t>⑩光进铜退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jk3YTA4MWZkYWJmYjljOWU5NDgxNjRlNDU4ZjEifQ=="/>
  </w:docVars>
  <w:rsids>
    <w:rsidRoot w:val="0A0E54AA"/>
    <w:rsid w:val="0A0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2023-02-22T06:17:00Z</dcterms:created>
  <dc:creator>XIAO</dc:creator>
  <cp:lastModifiedBy>XIAO</cp:lastModifiedBy>
  <dcterms:modified xsi:type="dcterms:W3CDTF">2023-02-22T06:19:01Z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FF8D72D8B3FD431A9B0914C21488804F</vt:lpwstr>
  </property>
</Properties>
</file>