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室内空气中的氨、甲醛、苯、总挥发性有机物、氡等污染物浓度应符合现行国家标准《室内空气质量标准》GB/T 18883的有关规定。建筑室内和建筑主出入口处应禁止吸烟，并应在醒目位置设置禁烟标志。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请对室内空气质量</w:t>
      </w:r>
      <w:r>
        <w:rPr>
          <w:rFonts w:hint="eastAsia" w:ascii="Times New Roman" w:hAnsi="Times New Roman" w:eastAsia="宋体" w:cs="Times New Roman"/>
          <w:szCs w:val="21"/>
        </w:rPr>
        <w:t>达标情况进行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主要功能建筑均采用新风换气机送新风，卫生间排风的方式（排风量为送风量的80~90%）保证室内空气质量。其他房间合理布置送回风口位置，使气流组织合理，房间无死角。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请对室内禁烟标志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一）标识图案：禁止吸烟标识统一使用《中国公民健康素养66条》和《安全标志及其使用导则》（GB2894-2008）中规定的国家标准图案（见附件），标牌文字内容为：“禁止吸烟”并附英文对照，标牌版面设计为：白底红框、红黑图案、黑色字体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）选用</w:t>
      </w:r>
      <w:r>
        <w:rPr>
          <w:rFonts w:ascii="Times New Roman" w:hAnsi="Times New Roman" w:eastAsia="宋体" w:cs="Times New Roman"/>
          <w:szCs w:val="21"/>
        </w:rPr>
        <w:t>装修材料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种类、用量</w:t>
      </w:r>
      <w:r>
        <w:rPr>
          <w:rFonts w:hint="eastAsia" w:ascii="Times New Roman" w:hAnsi="Times New Roman" w:eastAsia="宋体" w:cs="Times New Roman"/>
          <w:szCs w:val="21"/>
        </w:rPr>
        <w:t>及相关检测报告；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室内空气质量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建筑详图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OTA2NTQ0ZDE4OTMyZTA3ZDQwZjY3MGI0YjQ5MjYifQ=="/>
    <w:docVar w:name="KSO_WPS_MARK_KEY" w:val="07886163-8b92-4561-8ac8-b4e2e941adf8"/>
  </w:docVars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371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364</Characters>
  <Lines>2</Lines>
  <Paragraphs>1</Paragraphs>
  <TotalTime>1</TotalTime>
  <ScaleCrop>false</ScaleCrop>
  <LinksUpToDate>false</LinksUpToDate>
  <CharactersWithSpaces>369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。</cp:lastModifiedBy>
  <dcterms:modified xsi:type="dcterms:W3CDTF">2023-03-02T14:32:33Z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58399D990C7D4564A6682C6DB894971E</vt:lpwstr>
  </property>
</Properties>
</file>