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9338" w14:textId="77777777" w:rsidR="00461F76" w:rsidRPr="007726F4" w:rsidRDefault="00461F76" w:rsidP="00461F76">
      <w:pPr>
        <w:pStyle w:val="4"/>
        <w:rPr>
          <w:b w:val="0"/>
          <w:sz w:val="24"/>
          <w:szCs w:val="40"/>
        </w:rPr>
      </w:pPr>
      <w:r w:rsidRPr="007726F4">
        <w:rPr>
          <w:rFonts w:hint="eastAsia"/>
          <w:sz w:val="24"/>
          <w:szCs w:val="40"/>
        </w:rPr>
        <w:t>7.1.5</w:t>
      </w:r>
      <w:r w:rsidRPr="007726F4">
        <w:rPr>
          <w:sz w:val="24"/>
          <w:szCs w:val="40"/>
        </w:rPr>
        <w:t xml:space="preserve"> </w:t>
      </w:r>
      <w:r w:rsidRPr="007726F4">
        <w:rPr>
          <w:rFonts w:hint="eastAsia"/>
          <w:sz w:val="24"/>
          <w:szCs w:val="40"/>
        </w:rPr>
        <w:t>冷热源、输配系统和照明等各部分能耗应进行独立分项计量。</w:t>
      </w:r>
    </w:p>
    <w:p w14:paraId="1C4F8305" w14:textId="77777777" w:rsidR="00461F76" w:rsidRPr="002A7ED7" w:rsidRDefault="00461F76" w:rsidP="00461F7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16208B8" w14:textId="53AF0109" w:rsidR="00461F76" w:rsidRPr="00510D86" w:rsidRDefault="00000000" w:rsidP="00461F76">
      <w:pPr>
        <w:rPr>
          <w:rFonts w:ascii="Times New Roman" w:hAnsi="Times New Roman" w:cs="Times New Roman"/>
          <w:szCs w:val="21"/>
        </w:rPr>
      </w:pPr>
      <w:sdt>
        <w:sdtPr>
          <w:rPr>
            <w:rFonts w:hint="eastAsia"/>
            <w:sz w:val="28"/>
          </w:rPr>
          <w:id w:val="-1974590220"/>
          <w14:checkbox>
            <w14:checked w14:val="1"/>
            <w14:checkedState w14:val="0052" w14:font="Wingdings 2"/>
            <w14:uncheckedState w14:val="00A3" w14:font="Wingdings 2"/>
          </w14:checkbox>
        </w:sdtPr>
        <w:sdtContent>
          <w:r w:rsidR="00977F97">
            <w:rPr>
              <w:rFonts w:hint="eastAsia"/>
              <w:sz w:val="28"/>
            </w:rPr>
            <w:sym w:font="Wingdings 2" w:char="F052"/>
          </w:r>
        </w:sdtContent>
      </w:sdt>
      <w:r w:rsidR="00461F76" w:rsidRPr="00510D86">
        <w:rPr>
          <w:rFonts w:ascii="Times New Roman" w:hAnsi="Times New Roman" w:cs="Times New Roman"/>
          <w:szCs w:val="21"/>
        </w:rPr>
        <w:t>达标；</w:t>
      </w:r>
      <w:sdt>
        <w:sdtPr>
          <w:rPr>
            <w:rFonts w:hint="eastAsia"/>
            <w:sz w:val="28"/>
          </w:rPr>
          <w:id w:val="-353345916"/>
          <w14:checkbox>
            <w14:checked w14:val="0"/>
            <w14:checkedState w14:val="0052" w14:font="Wingdings 2"/>
            <w14:uncheckedState w14:val="00A3" w14:font="Wingdings 2"/>
          </w14:checkbox>
        </w:sdtPr>
        <w:sdtContent>
          <w:r w:rsidR="00461F76">
            <w:rPr>
              <w:rFonts w:hint="eastAsia"/>
              <w:sz w:val="28"/>
            </w:rPr>
            <w:sym w:font="Wingdings 2" w:char="F0A3"/>
          </w:r>
        </w:sdtContent>
      </w:sdt>
      <w:r w:rsidR="00461F76" w:rsidRPr="00510D86">
        <w:rPr>
          <w:rFonts w:ascii="Times New Roman" w:hAnsi="Times New Roman" w:cs="Times New Roman"/>
          <w:szCs w:val="21"/>
        </w:rPr>
        <w:t>不达标</w:t>
      </w:r>
    </w:p>
    <w:p w14:paraId="18F553A3" w14:textId="77777777" w:rsidR="00461F76" w:rsidRPr="00547320" w:rsidRDefault="00461F76" w:rsidP="00461F7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696510F" w14:textId="0DFF6410" w:rsidR="00461F76" w:rsidRPr="007F2B1E" w:rsidRDefault="00461F76" w:rsidP="00461F76">
      <w:pPr>
        <w:spacing w:line="288" w:lineRule="auto"/>
        <w:rPr>
          <w:rFonts w:cs="宋体"/>
          <w:u w:val="single"/>
        </w:rPr>
      </w:pPr>
      <w:r>
        <w:rPr>
          <w:rFonts w:cs="宋体" w:hint="eastAsia"/>
        </w:rPr>
        <w:t>分项计量内容：</w:t>
      </w:r>
      <w:sdt>
        <w:sdtPr>
          <w:rPr>
            <w:rFonts w:hint="eastAsia"/>
            <w:sz w:val="28"/>
          </w:rPr>
          <w:id w:val="1232041701"/>
          <w14:checkbox>
            <w14:checked w14:val="1"/>
            <w14:checkedState w14:val="0052" w14:font="Wingdings 2"/>
            <w14:uncheckedState w14:val="00A3" w14:font="Wingdings 2"/>
          </w14:checkbox>
        </w:sdtPr>
        <w:sdtContent>
          <w:r w:rsidR="00977F97">
            <w:rPr>
              <w:rFonts w:hint="eastAsia"/>
              <w:sz w:val="28"/>
            </w:rPr>
            <w:sym w:font="Wingdings 2" w:char="F052"/>
          </w:r>
        </w:sdtContent>
      </w:sdt>
      <w:r>
        <w:rPr>
          <w:rFonts w:cs="宋体" w:hint="eastAsia"/>
        </w:rPr>
        <w:t>冷热源</w:t>
      </w:r>
      <w:r>
        <w:rPr>
          <w:rFonts w:cs="宋体" w:hint="eastAsia"/>
        </w:rPr>
        <w:t xml:space="preserve">  </w:t>
      </w:r>
      <w:sdt>
        <w:sdtPr>
          <w:rPr>
            <w:rFonts w:hint="eastAsia"/>
            <w:sz w:val="28"/>
          </w:rPr>
          <w:id w:val="-1090470491"/>
          <w14:checkbox>
            <w14:checked w14:val="1"/>
            <w14:checkedState w14:val="0052" w14:font="Wingdings 2"/>
            <w14:uncheckedState w14:val="00A3" w14:font="Wingdings 2"/>
          </w14:checkbox>
        </w:sdtPr>
        <w:sdtContent>
          <w:r w:rsidR="00977F97">
            <w:rPr>
              <w:rFonts w:hint="eastAsia"/>
              <w:sz w:val="28"/>
            </w:rPr>
            <w:sym w:font="Wingdings 2" w:char="F052"/>
          </w:r>
        </w:sdtContent>
      </w:sdt>
      <w:r>
        <w:rPr>
          <w:rFonts w:cs="宋体" w:hint="eastAsia"/>
        </w:rPr>
        <w:t>输配系统</w:t>
      </w:r>
      <w:r>
        <w:rPr>
          <w:rFonts w:cs="宋体" w:hint="eastAsia"/>
        </w:rPr>
        <w:t xml:space="preserve">  </w:t>
      </w:r>
      <w:sdt>
        <w:sdtPr>
          <w:rPr>
            <w:rFonts w:hint="eastAsia"/>
            <w:sz w:val="28"/>
          </w:rPr>
          <w:id w:val="-521867121"/>
          <w14:checkbox>
            <w14:checked w14:val="1"/>
            <w14:checkedState w14:val="0052" w14:font="Wingdings 2"/>
            <w14:uncheckedState w14:val="00A3" w14:font="Wingdings 2"/>
          </w14:checkbox>
        </w:sdtPr>
        <w:sdtContent>
          <w:r w:rsidR="00977F97">
            <w:rPr>
              <w:rFonts w:hint="eastAsia"/>
              <w:sz w:val="28"/>
            </w:rPr>
            <w:sym w:font="Wingdings 2" w:char="F052"/>
          </w:r>
        </w:sdtContent>
      </w:sdt>
      <w:r>
        <w:rPr>
          <w:rFonts w:cs="宋体" w:hint="eastAsia"/>
        </w:rPr>
        <w:t>照明</w:t>
      </w:r>
      <w:r>
        <w:rPr>
          <w:rFonts w:cs="宋体" w:hint="eastAsia"/>
        </w:rPr>
        <w:t xml:space="preserve">  </w:t>
      </w:r>
      <w:sdt>
        <w:sdtPr>
          <w:rPr>
            <w:rFonts w:hint="eastAsia"/>
            <w:sz w:val="28"/>
          </w:rPr>
          <w:id w:val="-298994726"/>
          <w14:checkbox>
            <w14:checked w14:val="0"/>
            <w14:checkedState w14:val="0052" w14:font="Wingdings 2"/>
            <w14:uncheckedState w14:val="00A3" w14:font="Wingdings 2"/>
          </w14:checkbox>
        </w:sdtPr>
        <w:sdtContent>
          <w:r>
            <w:rPr>
              <w:rFonts w:hint="eastAsia"/>
              <w:sz w:val="28"/>
            </w:rPr>
            <w:sym w:font="Wingdings 2" w:char="F0A3"/>
          </w:r>
        </w:sdtContent>
      </w:sdt>
      <w:r>
        <w:rPr>
          <w:rFonts w:cs="宋体" w:hint="eastAsia"/>
        </w:rPr>
        <w:t>其他</w:t>
      </w:r>
      <w:r>
        <w:rPr>
          <w:rFonts w:cs="宋体" w:hint="eastAsia"/>
          <w:u w:val="single"/>
        </w:rPr>
        <w:t xml:space="preserve">      </w:t>
      </w:r>
    </w:p>
    <w:p w14:paraId="1FB072CF" w14:textId="77777777" w:rsidR="00461F76" w:rsidRPr="007726F4" w:rsidRDefault="00461F76" w:rsidP="00461F76">
      <w:pPr>
        <w:rPr>
          <w:rFonts w:ascii="Times New Roman" w:eastAsiaTheme="majorEastAsia" w:hAnsi="Times New Roman" w:cs="Times New Roman"/>
        </w:rPr>
      </w:pPr>
      <w:r w:rsidRPr="007726F4">
        <w:rPr>
          <w:rFonts w:ascii="Times New Roman" w:eastAsiaTheme="majorEastAsia" w:hAnsi="Times New Roman" w:cs="Times New Roman" w:hint="eastAsia"/>
        </w:rPr>
        <w:t>简要说明独立分项计量系统的设计、应用情况。</w:t>
      </w:r>
    </w:p>
    <w:tbl>
      <w:tblPr>
        <w:tblStyle w:val="1"/>
        <w:tblW w:w="0" w:type="auto"/>
        <w:jc w:val="center"/>
        <w:tblLook w:val="04A0" w:firstRow="1" w:lastRow="0" w:firstColumn="1" w:lastColumn="0" w:noHBand="0" w:noVBand="1"/>
      </w:tblPr>
      <w:tblGrid>
        <w:gridCol w:w="8272"/>
      </w:tblGrid>
      <w:tr w:rsidR="00461F76" w:rsidRPr="00547320" w14:paraId="5ED6ABD6" w14:textId="77777777" w:rsidTr="00F67772">
        <w:trPr>
          <w:trHeight w:val="2634"/>
          <w:jc w:val="center"/>
        </w:trPr>
        <w:tc>
          <w:tcPr>
            <w:tcW w:w="8272" w:type="dxa"/>
          </w:tcPr>
          <w:p w14:paraId="45961F79" w14:textId="7BC7A589" w:rsidR="00977F97" w:rsidRPr="00977F97" w:rsidRDefault="00977F97" w:rsidP="00977F97">
            <w:pPr>
              <w:ind w:firstLineChars="200" w:firstLine="400"/>
              <w:rPr>
                <w:rFonts w:ascii="Times New Roman" w:eastAsia="宋体" w:hAnsi="Times New Roman" w:cs="Times New Roman"/>
                <w:kern w:val="0"/>
                <w:sz w:val="20"/>
                <w:szCs w:val="21"/>
              </w:rPr>
            </w:pPr>
            <w:r w:rsidRPr="00977F97">
              <w:rPr>
                <w:rFonts w:ascii="Times New Roman" w:eastAsia="宋体" w:hAnsi="Times New Roman" w:cs="Times New Roman" w:hint="eastAsia"/>
                <w:kern w:val="0"/>
                <w:sz w:val="20"/>
                <w:szCs w:val="21"/>
              </w:rPr>
              <w:t>冷热源、运输系统和照明等能耗的计量系统是建筑节能管理中重要的组成部分。</w:t>
            </w:r>
          </w:p>
          <w:p w14:paraId="2B423428" w14:textId="77777777" w:rsidR="00977F97" w:rsidRPr="00977F97" w:rsidRDefault="00977F97" w:rsidP="00977F97">
            <w:pPr>
              <w:pStyle w:val="a9"/>
              <w:numPr>
                <w:ilvl w:val="0"/>
                <w:numId w:val="1"/>
              </w:numPr>
              <w:ind w:firstLineChars="0"/>
              <w:rPr>
                <w:rFonts w:hint="eastAsia"/>
                <w:kern w:val="0"/>
                <w:sz w:val="20"/>
              </w:rPr>
            </w:pPr>
            <w:r w:rsidRPr="00977F97">
              <w:rPr>
                <w:rFonts w:hint="eastAsia"/>
                <w:kern w:val="0"/>
                <w:sz w:val="20"/>
              </w:rPr>
              <w:t>冷热源计量系统的设计和应用情况：</w:t>
            </w:r>
          </w:p>
          <w:p w14:paraId="25D7BC26" w14:textId="77777777" w:rsidR="00977F97" w:rsidRPr="00977F97" w:rsidRDefault="00977F97" w:rsidP="00977F97">
            <w:pPr>
              <w:pStyle w:val="a9"/>
              <w:numPr>
                <w:ilvl w:val="0"/>
                <w:numId w:val="2"/>
              </w:numPr>
              <w:ind w:firstLineChars="0"/>
              <w:rPr>
                <w:rFonts w:hint="eastAsia"/>
                <w:kern w:val="0"/>
                <w:sz w:val="20"/>
              </w:rPr>
            </w:pPr>
            <w:r w:rsidRPr="00977F97">
              <w:rPr>
                <w:rFonts w:hint="eastAsia"/>
                <w:kern w:val="0"/>
                <w:sz w:val="20"/>
              </w:rPr>
              <w:t>设计：冷热源计量系统包括冷热水流量计、温度传感器、能量计量器等组成。应设计合理的冷热水管道布局和传感器安装位置，以确保计量系统的准确性和稳定性。</w:t>
            </w:r>
          </w:p>
          <w:p w14:paraId="6059BA92" w14:textId="77777777" w:rsidR="00977F97" w:rsidRPr="00977F97" w:rsidRDefault="00977F97" w:rsidP="00977F97">
            <w:pPr>
              <w:pStyle w:val="a9"/>
              <w:numPr>
                <w:ilvl w:val="0"/>
                <w:numId w:val="2"/>
              </w:numPr>
              <w:ind w:firstLineChars="0"/>
              <w:rPr>
                <w:rFonts w:hint="eastAsia"/>
                <w:kern w:val="0"/>
                <w:sz w:val="20"/>
              </w:rPr>
            </w:pPr>
            <w:r w:rsidRPr="00977F97">
              <w:rPr>
                <w:rFonts w:hint="eastAsia"/>
                <w:kern w:val="0"/>
                <w:sz w:val="20"/>
              </w:rPr>
              <w:t>应用：冷热源计量系统可用于监测建筑中冷热水的供应和消耗情况，帮助建筑物业管理者掌握冷热水的能耗情况，及时发现并解决能耗异常问题，从而实现节能减排。</w:t>
            </w:r>
          </w:p>
          <w:p w14:paraId="6D5758CA" w14:textId="77777777" w:rsidR="00977F97" w:rsidRPr="00977F97" w:rsidRDefault="00977F97" w:rsidP="00977F97">
            <w:pPr>
              <w:pStyle w:val="a9"/>
              <w:numPr>
                <w:ilvl w:val="0"/>
                <w:numId w:val="1"/>
              </w:numPr>
              <w:ind w:firstLineChars="0"/>
              <w:rPr>
                <w:rFonts w:hint="eastAsia"/>
                <w:kern w:val="0"/>
                <w:sz w:val="20"/>
              </w:rPr>
            </w:pPr>
            <w:r w:rsidRPr="00977F97">
              <w:rPr>
                <w:rFonts w:hint="eastAsia"/>
                <w:kern w:val="0"/>
                <w:sz w:val="20"/>
              </w:rPr>
              <w:t>运输系统计量系统的设计和应用情况：</w:t>
            </w:r>
          </w:p>
          <w:p w14:paraId="4AF630D9" w14:textId="77777777" w:rsidR="00977F97" w:rsidRPr="00977F97" w:rsidRDefault="00977F97" w:rsidP="00977F97">
            <w:pPr>
              <w:pStyle w:val="a9"/>
              <w:numPr>
                <w:ilvl w:val="0"/>
                <w:numId w:val="3"/>
              </w:numPr>
              <w:ind w:firstLineChars="0"/>
              <w:rPr>
                <w:rFonts w:hint="eastAsia"/>
                <w:kern w:val="0"/>
                <w:sz w:val="20"/>
              </w:rPr>
            </w:pPr>
            <w:r w:rsidRPr="00977F97">
              <w:rPr>
                <w:rFonts w:hint="eastAsia"/>
                <w:kern w:val="0"/>
                <w:sz w:val="20"/>
              </w:rPr>
              <w:t>设计：运输系统计量系统包括车辆识别系统、车道计数器、传感器等组成。应设计合理的传感器安装位置和车辆通行路线，以确保计量系统的准确性和稳定性。</w:t>
            </w:r>
          </w:p>
          <w:p w14:paraId="61BCCB39" w14:textId="77777777" w:rsidR="00977F97" w:rsidRPr="00977F97" w:rsidRDefault="00977F97" w:rsidP="00977F97">
            <w:pPr>
              <w:pStyle w:val="a9"/>
              <w:numPr>
                <w:ilvl w:val="0"/>
                <w:numId w:val="3"/>
              </w:numPr>
              <w:ind w:firstLineChars="0"/>
              <w:rPr>
                <w:rFonts w:hint="eastAsia"/>
                <w:kern w:val="0"/>
                <w:sz w:val="20"/>
              </w:rPr>
            </w:pPr>
            <w:r w:rsidRPr="00977F97">
              <w:rPr>
                <w:rFonts w:hint="eastAsia"/>
                <w:kern w:val="0"/>
                <w:sz w:val="20"/>
              </w:rPr>
              <w:t>应用：运输系统计量系统可用于监测建筑内外交通运输的情况，帮助建筑物业管理者掌握运输系统的能耗情况，及时发现并解决能耗异常问题，从而实现节能减排。</w:t>
            </w:r>
          </w:p>
          <w:p w14:paraId="22CD341B" w14:textId="77777777" w:rsidR="00977F97" w:rsidRPr="00977F97" w:rsidRDefault="00977F97" w:rsidP="00977F97">
            <w:pPr>
              <w:pStyle w:val="a9"/>
              <w:numPr>
                <w:ilvl w:val="0"/>
                <w:numId w:val="1"/>
              </w:numPr>
              <w:ind w:firstLineChars="0"/>
              <w:rPr>
                <w:rFonts w:hint="eastAsia"/>
                <w:kern w:val="0"/>
                <w:sz w:val="20"/>
              </w:rPr>
            </w:pPr>
            <w:r w:rsidRPr="00977F97">
              <w:rPr>
                <w:rFonts w:hint="eastAsia"/>
                <w:kern w:val="0"/>
                <w:sz w:val="20"/>
              </w:rPr>
              <w:t>照明或其他能耗的分项计量系统的设计和应用情况：</w:t>
            </w:r>
          </w:p>
          <w:p w14:paraId="3554C6F4" w14:textId="77777777" w:rsidR="00977F97" w:rsidRPr="00977F97" w:rsidRDefault="00977F97" w:rsidP="00977F97">
            <w:pPr>
              <w:pStyle w:val="a9"/>
              <w:numPr>
                <w:ilvl w:val="0"/>
                <w:numId w:val="4"/>
              </w:numPr>
              <w:ind w:firstLineChars="0"/>
              <w:rPr>
                <w:rFonts w:hint="eastAsia"/>
                <w:kern w:val="0"/>
                <w:sz w:val="20"/>
              </w:rPr>
            </w:pPr>
            <w:r w:rsidRPr="00977F97">
              <w:rPr>
                <w:rFonts w:hint="eastAsia"/>
                <w:kern w:val="0"/>
                <w:sz w:val="20"/>
              </w:rPr>
              <w:t>设计：照明或其他能耗的分项计量系统包括电表、智能插座等组成。应设计合理的计量系统布局和传感器安装位置，以确保计量系统的准确性和稳定性。</w:t>
            </w:r>
          </w:p>
          <w:p w14:paraId="285EFB2D" w14:textId="10613BA3" w:rsidR="00D974B0" w:rsidRPr="00977F97" w:rsidRDefault="00977F97" w:rsidP="00977F97">
            <w:pPr>
              <w:pStyle w:val="a9"/>
              <w:numPr>
                <w:ilvl w:val="0"/>
                <w:numId w:val="4"/>
              </w:numPr>
              <w:ind w:firstLineChars="0"/>
            </w:pPr>
            <w:r w:rsidRPr="00977F97">
              <w:rPr>
                <w:rFonts w:hint="eastAsia"/>
              </w:rPr>
              <w:t>应用：照明或其他能耗的分项计量系统可用于监测建筑内各个功能区域的能耗情况，帮助建筑物业管理者掌握各个区域的能耗情况，及时发现并解决能耗异常问题，从而实现节能减排。同时，分项计量系统可为后续的节能改造提供数据支持和参考。</w:t>
            </w:r>
          </w:p>
        </w:tc>
      </w:tr>
    </w:tbl>
    <w:p w14:paraId="6C8B1D50" w14:textId="77777777" w:rsidR="00461F76" w:rsidRPr="00547320" w:rsidRDefault="00461F76" w:rsidP="00461F76">
      <w:pPr>
        <w:spacing w:beforeLines="50" w:before="156" w:afterLines="50" w:after="156"/>
        <w:rPr>
          <w:rFonts w:ascii="Times New Roman" w:eastAsia="宋体" w:hAnsi="Times New Roman" w:cs="Times New Roman"/>
          <w:b/>
          <w:szCs w:val="21"/>
        </w:rPr>
      </w:pPr>
      <w:bookmarkStart w:id="0" w:name="_Toc9944739"/>
      <w:bookmarkStart w:id="1" w:name="_Toc9945019"/>
      <w:bookmarkStart w:id="2" w:name="_Toc9945163"/>
      <w:bookmarkStart w:id="3" w:name="_Toc9945305"/>
      <w:bookmarkStart w:id="4" w:name="_Toc9945446"/>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FF06778" w14:textId="77777777" w:rsidR="00461F76" w:rsidRPr="00547320" w:rsidRDefault="00461F76" w:rsidP="00461F7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4BE4587" w14:textId="77777777" w:rsidR="00461F76" w:rsidRPr="007726F4" w:rsidRDefault="00461F76" w:rsidP="00461F76">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与分项计量</w:t>
      </w:r>
      <w:r>
        <w:rPr>
          <w:rFonts w:ascii="Times New Roman" w:eastAsiaTheme="majorEastAsia" w:hAnsi="Times New Roman" w:cs="Times New Roman" w:hint="eastAsia"/>
        </w:rPr>
        <w:t>相关</w:t>
      </w:r>
      <w:r w:rsidRPr="007726F4">
        <w:rPr>
          <w:rFonts w:ascii="Times New Roman" w:eastAsiaTheme="majorEastAsia" w:hAnsi="Times New Roman" w:cs="Times New Roman" w:hint="eastAsia"/>
        </w:rPr>
        <w:t>的电气</w:t>
      </w:r>
      <w:r>
        <w:rPr>
          <w:rFonts w:ascii="Times New Roman" w:eastAsiaTheme="majorEastAsia" w:hAnsi="Times New Roman" w:cs="Times New Roman" w:hint="eastAsia"/>
        </w:rPr>
        <w:t>、</w:t>
      </w:r>
      <w:r>
        <w:rPr>
          <w:rFonts w:ascii="Times New Roman" w:eastAsiaTheme="majorEastAsia" w:hAnsi="Times New Roman" w:cs="Times New Roman"/>
        </w:rPr>
        <w:t>给排水、暖通</w:t>
      </w:r>
      <w:r w:rsidRPr="007726F4">
        <w:rPr>
          <w:rFonts w:ascii="Times New Roman" w:eastAsiaTheme="majorEastAsia" w:hAnsi="Times New Roman" w:cs="Times New Roman" w:hint="eastAsia"/>
        </w:rPr>
        <w:t>专业竣工图及设计说明，应包含分项计量的内容、系统图</w:t>
      </w:r>
      <w:r>
        <w:rPr>
          <w:rFonts w:ascii="Times New Roman" w:eastAsiaTheme="majorEastAsia" w:hAnsi="Times New Roman" w:cs="Times New Roman" w:hint="eastAsia"/>
        </w:rPr>
        <w:t>、</w:t>
      </w:r>
      <w:r>
        <w:rPr>
          <w:rFonts w:ascii="Times New Roman" w:eastAsiaTheme="majorEastAsia" w:hAnsi="Times New Roman" w:cs="Times New Roman"/>
        </w:rPr>
        <w:t>给水</w:t>
      </w:r>
      <w:r>
        <w:rPr>
          <w:rFonts w:ascii="Times New Roman" w:eastAsiaTheme="majorEastAsia" w:hAnsi="Times New Roman" w:cs="Times New Roman" w:hint="eastAsia"/>
        </w:rPr>
        <w:t>、</w:t>
      </w:r>
      <w:r>
        <w:rPr>
          <w:rFonts w:ascii="Times New Roman" w:eastAsiaTheme="majorEastAsia" w:hAnsi="Times New Roman" w:cs="Times New Roman"/>
        </w:rPr>
        <w:t>热水</w:t>
      </w:r>
      <w:r>
        <w:rPr>
          <w:rFonts w:ascii="Times New Roman" w:eastAsiaTheme="majorEastAsia" w:hAnsi="Times New Roman" w:cs="Times New Roman" w:hint="eastAsia"/>
        </w:rPr>
        <w:t>、</w:t>
      </w:r>
      <w:r>
        <w:rPr>
          <w:rFonts w:ascii="Times New Roman" w:eastAsiaTheme="majorEastAsia" w:hAnsi="Times New Roman" w:cs="Times New Roman"/>
        </w:rPr>
        <w:t>中水系统图、</w:t>
      </w:r>
      <w:r>
        <w:rPr>
          <w:rFonts w:ascii="Times New Roman" w:eastAsiaTheme="majorEastAsia" w:hAnsi="Times New Roman" w:cs="Times New Roman" w:hint="eastAsia"/>
        </w:rPr>
        <w:t>供暖</w:t>
      </w:r>
      <w:r>
        <w:rPr>
          <w:rFonts w:ascii="Times New Roman" w:eastAsiaTheme="majorEastAsia" w:hAnsi="Times New Roman" w:cs="Times New Roman"/>
        </w:rPr>
        <w:t>空调系统水系统图、</w:t>
      </w:r>
      <w:r>
        <w:rPr>
          <w:rFonts w:ascii="Times New Roman" w:eastAsiaTheme="majorEastAsia" w:hAnsi="Times New Roman" w:cs="Times New Roman" w:hint="eastAsia"/>
        </w:rPr>
        <w:t>电气</w:t>
      </w:r>
      <w:r>
        <w:rPr>
          <w:rFonts w:ascii="Times New Roman" w:eastAsiaTheme="majorEastAsia" w:hAnsi="Times New Roman" w:cs="Times New Roman"/>
        </w:rPr>
        <w:t>计量表计</w:t>
      </w:r>
      <w:r>
        <w:rPr>
          <w:rFonts w:ascii="Times New Roman" w:eastAsiaTheme="majorEastAsia" w:hAnsi="Times New Roman" w:cs="Times New Roman" w:hint="eastAsia"/>
        </w:rPr>
        <w:t>所涉及</w:t>
      </w:r>
      <w:r>
        <w:rPr>
          <w:rFonts w:ascii="Times New Roman" w:eastAsiaTheme="majorEastAsia" w:hAnsi="Times New Roman" w:cs="Times New Roman"/>
        </w:rPr>
        <w:t>的电气低压配电系统图、配电箱系统图、暖通空调冷热源机房、计量小</w:t>
      </w:r>
      <w:r>
        <w:rPr>
          <w:rFonts w:ascii="Times New Roman" w:eastAsiaTheme="majorEastAsia" w:hAnsi="Times New Roman" w:cs="Times New Roman" w:hint="eastAsia"/>
        </w:rPr>
        <w:t>室及其</w:t>
      </w:r>
      <w:r>
        <w:rPr>
          <w:rFonts w:ascii="Times New Roman" w:eastAsiaTheme="majorEastAsia" w:hAnsi="Times New Roman" w:cs="Times New Roman"/>
        </w:rPr>
        <w:t>控制系统图、各类计量表计的设置要求及位置等</w:t>
      </w:r>
      <w:r w:rsidRPr="007726F4">
        <w:rPr>
          <w:rFonts w:ascii="Times New Roman" w:eastAsiaTheme="majorEastAsia" w:hAnsi="Times New Roman" w:cs="Times New Roman" w:hint="eastAsia"/>
        </w:rPr>
        <w:t>；</w:t>
      </w:r>
    </w:p>
    <w:p w14:paraId="027E2B35" w14:textId="77777777" w:rsidR="00461F76" w:rsidRPr="007726F4" w:rsidRDefault="00461F76" w:rsidP="00461F76">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43CEA">
        <w:rPr>
          <w:rFonts w:ascii="Times New Roman" w:eastAsiaTheme="majorEastAsia" w:hAnsi="Times New Roman" w:cs="Times New Roman" w:hint="eastAsia"/>
        </w:rPr>
        <w:t>计量表的产品采购清单及产品说明</w:t>
      </w:r>
      <w:r>
        <w:rPr>
          <w:rFonts w:ascii="Times New Roman" w:eastAsiaTheme="majorEastAsia" w:hAnsi="Times New Roman" w:cs="Times New Roman" w:hint="eastAsia"/>
        </w:rPr>
        <w:t>、</w:t>
      </w:r>
      <w:r>
        <w:rPr>
          <w:rFonts w:ascii="Times New Roman" w:eastAsiaTheme="majorEastAsia" w:hAnsi="Times New Roman" w:cs="Times New Roman"/>
        </w:rPr>
        <w:t>设备材料表</w:t>
      </w:r>
      <w:r w:rsidRPr="007726F4">
        <w:rPr>
          <w:rFonts w:ascii="Times New Roman" w:eastAsiaTheme="majorEastAsia" w:hAnsi="Times New Roman" w:cs="Times New Roman" w:hint="eastAsia"/>
        </w:rPr>
        <w:t>；</w:t>
      </w:r>
    </w:p>
    <w:p w14:paraId="3D4C3797" w14:textId="77777777" w:rsidR="00461F76" w:rsidRPr="007726F4" w:rsidRDefault="00461F76" w:rsidP="00461F76">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43CEA">
        <w:rPr>
          <w:rFonts w:ascii="Times New Roman" w:eastAsiaTheme="majorEastAsia" w:hAnsi="Times New Roman" w:cs="Times New Roman" w:hint="eastAsia"/>
        </w:rPr>
        <w:t>与分项计量相关的竣工验收记录、现场检查记录、运行调试记录</w:t>
      </w:r>
      <w:r>
        <w:rPr>
          <w:rFonts w:ascii="Times New Roman" w:eastAsiaTheme="majorEastAsia" w:hAnsi="Times New Roman" w:cs="Times New Roman" w:hint="eastAsia"/>
        </w:rPr>
        <w:t>。</w:t>
      </w:r>
    </w:p>
    <w:p w14:paraId="2FFD838F" w14:textId="77777777" w:rsidR="00461F76" w:rsidRPr="007726F4" w:rsidRDefault="00461F76" w:rsidP="00461F76">
      <w:pPr>
        <w:pStyle w:val="a9"/>
        <w:ind w:left="360" w:firstLineChars="0" w:firstLine="0"/>
      </w:pPr>
    </w:p>
    <w:bookmarkEnd w:id="0"/>
    <w:bookmarkEnd w:id="1"/>
    <w:bookmarkEnd w:id="2"/>
    <w:bookmarkEnd w:id="3"/>
    <w:bookmarkEnd w:id="4"/>
    <w:p w14:paraId="2BACDE6A" w14:textId="77777777" w:rsidR="00461F76" w:rsidRPr="00547320" w:rsidRDefault="00461F76" w:rsidP="00461F76">
      <w:pPr>
        <w:rPr>
          <w:rFonts w:ascii="Times New Roman" w:eastAsia="宋体" w:hAnsi="Times New Roman" w:cs="Times New Roman"/>
          <w:szCs w:val="21"/>
        </w:rPr>
      </w:pPr>
      <w:r w:rsidRPr="00262CF0">
        <w:t>实际提交材料：</w:t>
      </w:r>
    </w:p>
    <w:tbl>
      <w:tblPr>
        <w:tblStyle w:val="1"/>
        <w:tblW w:w="0" w:type="auto"/>
        <w:jc w:val="center"/>
        <w:tblLook w:val="04A0" w:firstRow="1" w:lastRow="0" w:firstColumn="1" w:lastColumn="0" w:noHBand="0" w:noVBand="1"/>
      </w:tblPr>
      <w:tblGrid>
        <w:gridCol w:w="8296"/>
      </w:tblGrid>
      <w:tr w:rsidR="00461F76" w:rsidRPr="00547320" w14:paraId="44608A06" w14:textId="77777777" w:rsidTr="00F67772">
        <w:trPr>
          <w:trHeight w:val="2634"/>
          <w:jc w:val="center"/>
        </w:trPr>
        <w:tc>
          <w:tcPr>
            <w:tcW w:w="9356" w:type="dxa"/>
          </w:tcPr>
          <w:p w14:paraId="21DD5DB4" w14:textId="68063917" w:rsidR="00461F76" w:rsidRPr="00547320" w:rsidRDefault="00FA7EDB" w:rsidP="005A4BEF">
            <w:pPr>
              <w:rPr>
                <w:szCs w:val="21"/>
              </w:rPr>
            </w:pPr>
            <w:r>
              <w:rPr>
                <w:rFonts w:hint="eastAsia"/>
                <w:szCs w:val="21"/>
              </w:rPr>
              <w:lastRenderedPageBreak/>
              <w:t>已提交至网页</w:t>
            </w:r>
          </w:p>
        </w:tc>
      </w:tr>
    </w:tbl>
    <w:p w14:paraId="469BD488"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D086" w14:textId="77777777" w:rsidR="00D219FB" w:rsidRDefault="00D219FB" w:rsidP="00461F76">
      <w:r>
        <w:separator/>
      </w:r>
    </w:p>
  </w:endnote>
  <w:endnote w:type="continuationSeparator" w:id="0">
    <w:p w14:paraId="26527018" w14:textId="77777777" w:rsidR="00D219FB" w:rsidRDefault="00D219FB" w:rsidP="0046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18DB" w14:textId="77777777" w:rsidR="00D219FB" w:rsidRDefault="00D219FB" w:rsidP="00461F76">
      <w:r>
        <w:separator/>
      </w:r>
    </w:p>
  </w:footnote>
  <w:footnote w:type="continuationSeparator" w:id="0">
    <w:p w14:paraId="264B0667" w14:textId="77777777" w:rsidR="00D219FB" w:rsidRDefault="00D219FB" w:rsidP="0046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6206"/>
    <w:multiLevelType w:val="hybridMultilevel"/>
    <w:tmpl w:val="99D27EC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 w15:restartNumberingAfterBreak="0">
    <w:nsid w:val="531522FC"/>
    <w:multiLevelType w:val="hybridMultilevel"/>
    <w:tmpl w:val="A62464C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6FFD126C"/>
    <w:multiLevelType w:val="hybridMultilevel"/>
    <w:tmpl w:val="132E1B16"/>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744E2910"/>
    <w:multiLevelType w:val="hybridMultilevel"/>
    <w:tmpl w:val="158842A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16cid:durableId="891690615">
    <w:abstractNumId w:val="2"/>
  </w:num>
  <w:num w:numId="2" w16cid:durableId="410860282">
    <w:abstractNumId w:val="1"/>
  </w:num>
  <w:num w:numId="3" w16cid:durableId="1464350119">
    <w:abstractNumId w:val="3"/>
  </w:num>
  <w:num w:numId="4" w16cid:durableId="133210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79"/>
    <w:rsid w:val="00074A38"/>
    <w:rsid w:val="00186C0B"/>
    <w:rsid w:val="002B6A39"/>
    <w:rsid w:val="00461F76"/>
    <w:rsid w:val="00491BBC"/>
    <w:rsid w:val="00617A79"/>
    <w:rsid w:val="00652943"/>
    <w:rsid w:val="0076458C"/>
    <w:rsid w:val="00977F97"/>
    <w:rsid w:val="00B15222"/>
    <w:rsid w:val="00BD1487"/>
    <w:rsid w:val="00BE0B4C"/>
    <w:rsid w:val="00D219FB"/>
    <w:rsid w:val="00D974B0"/>
    <w:rsid w:val="00F67772"/>
    <w:rsid w:val="00FA0455"/>
    <w:rsid w:val="00FA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6625F"/>
  <w15:chartTrackingRefBased/>
  <w15:docId w15:val="{1EFD604B-D375-4B48-89C0-EB806FDD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F76"/>
    <w:pPr>
      <w:widowControl w:val="0"/>
      <w:jc w:val="both"/>
    </w:pPr>
  </w:style>
  <w:style w:type="paragraph" w:styleId="3">
    <w:name w:val="heading 3"/>
    <w:basedOn w:val="a"/>
    <w:next w:val="a"/>
    <w:link w:val="30"/>
    <w:uiPriority w:val="9"/>
    <w:semiHidden/>
    <w:unhideWhenUsed/>
    <w:qFormat/>
    <w:rsid w:val="00461F76"/>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61F76"/>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F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1F76"/>
    <w:rPr>
      <w:sz w:val="18"/>
      <w:szCs w:val="18"/>
    </w:rPr>
  </w:style>
  <w:style w:type="paragraph" w:styleId="a5">
    <w:name w:val="footer"/>
    <w:basedOn w:val="a"/>
    <w:link w:val="a6"/>
    <w:uiPriority w:val="99"/>
    <w:unhideWhenUsed/>
    <w:rsid w:val="00461F76"/>
    <w:pPr>
      <w:tabs>
        <w:tab w:val="center" w:pos="4153"/>
        <w:tab w:val="right" w:pos="8306"/>
      </w:tabs>
      <w:snapToGrid w:val="0"/>
      <w:jc w:val="left"/>
    </w:pPr>
    <w:rPr>
      <w:sz w:val="18"/>
      <w:szCs w:val="18"/>
    </w:rPr>
  </w:style>
  <w:style w:type="character" w:customStyle="1" w:styleId="a6">
    <w:name w:val="页脚 字符"/>
    <w:basedOn w:val="a0"/>
    <w:link w:val="a5"/>
    <w:uiPriority w:val="99"/>
    <w:rsid w:val="00461F76"/>
    <w:rPr>
      <w:sz w:val="18"/>
      <w:szCs w:val="18"/>
    </w:rPr>
  </w:style>
  <w:style w:type="character" w:customStyle="1" w:styleId="40">
    <w:name w:val="标题 4 字符"/>
    <w:basedOn w:val="a0"/>
    <w:link w:val="4"/>
    <w:rsid w:val="00461F76"/>
    <w:rPr>
      <w:rFonts w:ascii="Times New Roman" w:eastAsia="宋体" w:hAnsi="Times New Roman" w:cs="Times New Roman"/>
      <w:b/>
      <w:bCs/>
      <w:szCs w:val="32"/>
    </w:rPr>
  </w:style>
  <w:style w:type="character" w:styleId="a7">
    <w:name w:val="Placeholder Text"/>
    <w:basedOn w:val="a0"/>
    <w:uiPriority w:val="99"/>
    <w:semiHidden/>
    <w:rsid w:val="00461F76"/>
    <w:rPr>
      <w:color w:val="808080"/>
    </w:rPr>
  </w:style>
  <w:style w:type="table" w:customStyle="1" w:styleId="1">
    <w:name w:val="网格型1"/>
    <w:basedOn w:val="a1"/>
    <w:next w:val="a8"/>
    <w:uiPriority w:val="59"/>
    <w:rsid w:val="00461F7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61F76"/>
    <w:pPr>
      <w:ind w:firstLineChars="200" w:firstLine="420"/>
    </w:pPr>
    <w:rPr>
      <w:rFonts w:ascii="Times New Roman" w:eastAsia="宋体" w:hAnsi="Times New Roman" w:cs="Times New Roman"/>
      <w:szCs w:val="21"/>
    </w:rPr>
  </w:style>
  <w:style w:type="character" w:customStyle="1" w:styleId="10">
    <w:name w:val="样式1"/>
    <w:basedOn w:val="a0"/>
    <w:uiPriority w:val="1"/>
    <w:rsid w:val="00461F76"/>
    <w:rPr>
      <w:rFonts w:eastAsiaTheme="minorEastAsia"/>
      <w:sz w:val="21"/>
    </w:rPr>
  </w:style>
  <w:style w:type="character" w:customStyle="1" w:styleId="30">
    <w:name w:val="标题 3 字符"/>
    <w:basedOn w:val="a0"/>
    <w:link w:val="3"/>
    <w:uiPriority w:val="9"/>
    <w:semiHidden/>
    <w:rsid w:val="00461F76"/>
    <w:rPr>
      <w:b/>
      <w:bCs/>
      <w:sz w:val="32"/>
      <w:szCs w:val="32"/>
    </w:rPr>
  </w:style>
  <w:style w:type="table" w:styleId="a8">
    <w:name w:val="Table Grid"/>
    <w:basedOn w:val="a1"/>
    <w:uiPriority w:val="39"/>
    <w:rsid w:val="0046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461</Characters>
  <Application>Microsoft Office Word</Application>
  <DocSecurity>0</DocSecurity>
  <Lines>28</Lines>
  <Paragraphs>35</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焦 文杰</cp:lastModifiedBy>
  <cp:revision>10</cp:revision>
  <dcterms:created xsi:type="dcterms:W3CDTF">2019-07-12T08:03:00Z</dcterms:created>
  <dcterms:modified xsi:type="dcterms:W3CDTF">2023-03-01T07:45:00Z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da683403dc277c6a99831eeba96700fba0131eb19fc3f80d77083fd82f031489</vt:lpwstr>
  </property>
</Properties>
</file>