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</w:t>
      </w:r>
      <w:r>
        <w:rPr>
          <w:rFonts w:hint="eastAsia" w:ascii="Times New Roman" w:hAnsi="Times New Roman" w:eastAsia="宋体" w:cs="Times New Roman"/>
          <w:kern w:val="0"/>
          <w:sz w:val="20"/>
          <w:szCs w:val="21"/>
          <w:u w:val="single"/>
        </w:rPr>
        <w:t>综合调控土地利用</w:t>
      </w:r>
      <w:r>
        <w:rPr>
          <w:rFonts w:hint="eastAsia" w:ascii="Times New Roman" w:hAnsi="Times New Roman" w:eastAsia="宋体" w:cs="Times New Roman"/>
          <w:kern w:val="0"/>
          <w:sz w:val="20"/>
          <w:szCs w:val="21"/>
          <w:u w:val="single"/>
          <w:lang w:val="en-US" w:eastAsia="zh-CN"/>
        </w:rPr>
        <w:t>和绿化</w:t>
      </w:r>
      <w:r>
        <w:rPr>
          <w:u w:val="single"/>
          <w:lang w:val="zh-CN"/>
        </w:rPr>
        <w:t xml:space="preserve">       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综合调控土地利用：在建设项目的选址和建设过程中，严格控制对土地的利用，降低土地利用的强度，减少土地破坏，避免植被的清理，最大限度的保护原有的生态环境。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3绿化用地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：并设置８处花坛、绿地、植物景观绿化方式，营造出一种谐和的自然环境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·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1）场地地形图、竣工总平面图；</w:t>
      </w:r>
    </w:p>
    <w:p>
      <w:r>
        <w:rPr>
          <w:rFonts w:hint="eastAsia"/>
        </w:rPr>
        <w:t>2）竖向设计图；景观专业竣工图纸及设计说明；</w:t>
      </w:r>
    </w:p>
    <w:p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r>
        <w:rPr>
          <w:rFonts w:hint="eastAsia"/>
        </w:rPr>
        <w:t>4）施工记录、影像资料文件。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景观总平面图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景观设计说明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生态补偿方案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场地竖向图及设计说明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苏州独墅湖中学建设场地生态补偿方案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6FD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542185B63B844C5B2520754455449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351</Characters>
  <Lines>2</Lines>
  <Paragraphs>1</Paragraphs>
  <TotalTime>5</TotalTime>
  <ScaleCrop>false</ScaleCrop>
  <LinksUpToDate>false</LinksUpToDate>
  <CharactersWithSpaces>370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blaa</cp:lastModifiedBy>
  <dcterms:modified xsi:type="dcterms:W3CDTF">2023-02-26T03:41:54Z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47BDCE93731D447E8F35D6480BE44C61</vt:lpwstr>
  </property>
</Properties>
</file>