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 w:eastAsia="zh-CN"/>
        </w:rPr>
        <w:t>公共</w:t>
      </w:r>
      <w:r>
        <w:rPr>
          <w:rFonts w:hint="eastAsia" w:ascii="宋体" w:hAnsi="宋体"/>
          <w:bCs/>
          <w:sz w:val="44"/>
          <w:szCs w:val="44"/>
          <w:lang w:val="en-US"/>
        </w:rPr>
        <w:t>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4"/>
              <w:keepNext w:val="0"/>
              <w:keepLines w:val="0"/>
              <w:widowControl/>
              <w:suppressLineNumbers w:val="0"/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青蕴蘅院，稚子懿园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  <w:lang w:val="en-US" w:eastAsia="zh-CN"/>
              </w:rPr>
              <w:t>吉林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  <w:lang w:val="en-US" w:eastAsia="zh-CN"/>
              </w:rPr>
              <w:t>长春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Times New Roman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年12月11日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</w:pPr>
      <w:bookmarkStart w:id="6" w:name="二维码"/>
      <w:bookmarkEnd w:id="6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t>节能设计BECS2020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</w:t>
            </w:r>
            <w:bookmarkEnd w:id="8"/>
            <w:r>
              <w:rPr>
                <w:rFonts w:ascii="宋体" w:hAnsi="宋体"/>
                <w:szCs w:val="18"/>
              </w:rPr>
              <w:t>505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N1AEDFF0673AAAFD9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6"/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0" w:name="_Toc316568035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bookmarkEnd w:id="11"/>
            <w:r>
              <w:rPr>
                <w:rFonts w:hint="eastAsia" w:ascii="宋体" w:hAnsi="宋体"/>
                <w:szCs w:val="21"/>
                <w:lang w:val="en-US" w:eastAsia="zh-CN"/>
              </w:rPr>
              <w:t>青蕴蘅院，稚子懿园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 w:eastAsia="zh-CN"/>
              </w:rPr>
              <w:t>吉林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长春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气候分区"/>
            <w:r>
              <w:rPr>
                <w:rFonts w:hint="eastAsia"/>
                <w:lang w:val="en-US" w:eastAsia="zh-CN"/>
              </w:rPr>
              <w:t>严寒C</w:t>
            </w:r>
            <w:r>
              <w:t>区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4279.02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北向角度"/>
            <w:r>
              <w:rPr>
                <w:rFonts w:hint="eastAsia"/>
                <w:lang w:val="en-US" w:eastAsia="zh-CN"/>
              </w:rPr>
              <w:t>7</w:t>
            </w:r>
            <w:r>
              <w:t>0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结构类型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采暖期天数"/>
            <w:r>
              <w:t>114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采暖期平均外温"/>
            <w:r>
              <w:t>0.10</w:t>
            </w:r>
            <w:bookmarkEnd w:id="16"/>
          </w:p>
        </w:tc>
      </w:tr>
    </w:tbl>
    <w:p>
      <w:pPr>
        <w:pStyle w:val="2"/>
      </w:pPr>
      <w:bookmarkStart w:id="17" w:name="_Toc316568036"/>
      <w:bookmarkStart w:id="18" w:name="TitleFormat"/>
      <w:r>
        <w:rPr>
          <w:rFonts w:hint="eastAsia"/>
        </w:rPr>
        <w:t>设计依据</w:t>
      </w:r>
      <w:bookmarkEnd w:id="17"/>
    </w:p>
    <w:bookmarkEnd w:id="18"/>
    <w:p>
      <w:pPr>
        <w:widowControl w:val="0"/>
        <w:jc w:val="both"/>
        <w:rPr>
          <w:kern w:val="2"/>
          <w:szCs w:val="24"/>
          <w:lang w:val="en-US"/>
        </w:rPr>
      </w:pPr>
      <w:bookmarkStart w:id="19" w:name="计算依据"/>
      <w:bookmarkEnd w:id="19"/>
      <w:r>
        <w:rPr>
          <w:kern w:val="2"/>
          <w:szCs w:val="24"/>
          <w:lang w:val="en-US"/>
        </w:rPr>
        <w:t>1.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挤塑聚苯板(ρ=30)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块瓦(忽略保温性能)</w:t>
            </w:r>
          </w:p>
        </w:tc>
        <w:tc>
          <w:tcPr>
            <w:tcW w:w="1018" w:type="dxa"/>
            <w:vAlign w:val="center"/>
          </w:tcPr>
          <w:p>
            <w:r>
              <w:t>5.000</w:t>
            </w:r>
          </w:p>
        </w:tc>
        <w:tc>
          <w:tcPr>
            <w:tcW w:w="1030" w:type="dxa"/>
            <w:vAlign w:val="center"/>
          </w:tcPr>
          <w:p>
            <w:r>
              <w:t>10.583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171.1</w:t>
            </w:r>
          </w:p>
        </w:tc>
        <w:tc>
          <w:tcPr>
            <w:tcW w:w="1188" w:type="dxa"/>
            <w:vAlign w:val="center"/>
          </w:tcPr>
          <w:p>
            <w:r>
              <w:t>0.0040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2600.0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防水层(忽略保温性能)</w:t>
            </w:r>
          </w:p>
        </w:tc>
        <w:tc>
          <w:tcPr>
            <w:tcW w:w="1018" w:type="dxa"/>
            <w:vAlign w:val="center"/>
          </w:tcPr>
          <w:p>
            <w:r>
              <w:t>5.000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火山灰</w:t>
            </w:r>
          </w:p>
        </w:tc>
        <w:tc>
          <w:tcPr>
            <w:tcW w:w="1018" w:type="dxa"/>
            <w:vAlign w:val="center"/>
          </w:tcPr>
          <w:p>
            <w:r>
              <w:t>0.087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350.0</w:t>
            </w:r>
          </w:p>
        </w:tc>
        <w:tc>
          <w:tcPr>
            <w:tcW w:w="1018" w:type="dxa"/>
            <w:vAlign w:val="center"/>
          </w:tcPr>
          <w:p>
            <w:r>
              <w:t>254.0</w:t>
            </w:r>
          </w:p>
        </w:tc>
        <w:tc>
          <w:tcPr>
            <w:tcW w:w="1188" w:type="dxa"/>
            <w:vAlign w:val="center"/>
          </w:tcPr>
          <w:p>
            <w:r>
              <w:t>10.0000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150.0</w:t>
            </w:r>
          </w:p>
        </w:tc>
        <w:tc>
          <w:tcPr>
            <w:tcW w:w="1018" w:type="dxa"/>
            <w:vAlign w:val="center"/>
          </w:tcPr>
          <w:p>
            <w:r>
              <w:t>1145.9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05系列建筑标准设计图集DBJT03-22-2005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14976.64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4792.32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《严寒和寒冷地区居住建筑节能设计标准》JGJ 26-2018第4.1.3条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体形系数应符合表4.1.3的规定(s≤0.33)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t>200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37.67</w:t>
            </w:r>
          </w:p>
        </w:tc>
        <w:tc>
          <w:tcPr>
            <w:tcW w:w="17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76.86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0.49</w:t>
            </w:r>
          </w:p>
        </w:tc>
        <w:tc>
          <w:tcPr>
            <w:tcW w:w="1188" w:type="dxa"/>
            <w:vAlign w:val="center"/>
          </w:tcPr>
          <w:p>
            <w:r>
              <w:t>0.50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13.53</w:t>
            </w:r>
          </w:p>
        </w:tc>
        <w:tc>
          <w:tcPr>
            <w:tcW w:w="17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46.72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t>0.2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88" w:type="dxa"/>
            <w:vAlign w:val="center"/>
          </w:tcPr>
          <w:p>
            <w:r>
              <w:t>0.30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1015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8.61</w:t>
            </w:r>
          </w:p>
        </w:tc>
        <w:tc>
          <w:tcPr>
            <w:tcW w:w="1714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26.90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1024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6.19</w:t>
            </w:r>
          </w:p>
        </w:tc>
        <w:tc>
          <w:tcPr>
            <w:tcW w:w="17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19.97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《严寒和寒冷地区居住建筑节能设计标准》JGJ 26-2018第4.1.4条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窗墙面积比不应超过表4.1.4的规定的数值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t>200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37.67</w:t>
            </w:r>
          </w:p>
        </w:tc>
        <w:tc>
          <w:tcPr>
            <w:tcW w:w="17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71.86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88" w:type="dxa"/>
            <w:vAlign w:val="center"/>
          </w:tcPr>
          <w:p>
            <w:r>
              <w:t>0.60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13.53</w:t>
            </w:r>
          </w:p>
        </w:tc>
        <w:tc>
          <w:tcPr>
            <w:tcW w:w="17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39.79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188" w:type="dxa"/>
            <w:vAlign w:val="center"/>
          </w:tcPr>
          <w:p>
            <w:r>
              <w:t>0.40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1017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9.87</w:t>
            </w:r>
          </w:p>
        </w:tc>
        <w:tc>
          <w:tcPr>
            <w:tcW w:w="17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22.95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1025</w:t>
            </w:r>
          </w:p>
        </w:tc>
        <w:tc>
          <w:tcPr>
            <w:tcW w:w="1443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5.77</w:t>
            </w:r>
          </w:p>
        </w:tc>
        <w:tc>
          <w:tcPr>
            <w:tcW w:w="171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14.02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《严寒和寒冷地区居住建筑节能设计标准》JGJ 26-2018第4.3.2条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在进行权衡判断时，窗墙面积比最大值不应超过表4.3.2-1的限值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天窗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屋顶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平屋面 挤塑聚苯板170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防水层(忽略保温性能)</w:t>
            </w:r>
          </w:p>
        </w:tc>
        <w:tc>
          <w:tcPr>
            <w:tcW w:w="848" w:type="dxa"/>
            <w:vAlign w:val="center"/>
          </w:tcPr>
          <w:p>
            <w:r>
              <w:t>7</w:t>
            </w:r>
          </w:p>
        </w:tc>
        <w:tc>
          <w:tcPr>
            <w:tcW w:w="1075" w:type="dxa"/>
            <w:vAlign w:val="center"/>
          </w:tcPr>
          <w:p>
            <w:r>
              <w:t>5.000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0.001</w:t>
            </w:r>
          </w:p>
        </w:tc>
        <w:tc>
          <w:tcPr>
            <w:tcW w:w="1064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170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4.722</w:t>
            </w:r>
          </w:p>
        </w:tc>
        <w:tc>
          <w:tcPr>
            <w:tcW w:w="1064" w:type="dxa"/>
            <w:vAlign w:val="center"/>
          </w:tcPr>
          <w:p>
            <w:r>
              <w:t>1.813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火山灰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0.087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0.265</w:t>
            </w:r>
          </w:p>
        </w:tc>
        <w:tc>
          <w:tcPr>
            <w:tcW w:w="1064" w:type="dxa"/>
            <w:vAlign w:val="center"/>
          </w:tcPr>
          <w:p>
            <w:r>
              <w:t>0.259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432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5.137</w:t>
            </w:r>
          </w:p>
        </w:tc>
        <w:tc>
          <w:tcPr>
            <w:tcW w:w="1064" w:type="dxa"/>
            <w:vAlign w:val="center"/>
          </w:tcPr>
          <w:p>
            <w:r>
              <w:t>4.385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K值应当符合表4.2.1-1~4.2.1-5的要求(K≤0.30)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外墙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混凝土剪力墙200+挤塑聚苯板80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2.424</w:t>
            </w:r>
          </w:p>
        </w:tc>
        <w:tc>
          <w:tcPr>
            <w:tcW w:w="1064" w:type="dxa"/>
            <w:vAlign w:val="center"/>
          </w:tcPr>
          <w:p>
            <w:r>
              <w:t>0.853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307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2.569</w:t>
            </w:r>
          </w:p>
        </w:tc>
        <w:tc>
          <w:tcPr>
            <w:tcW w:w="1064" w:type="dxa"/>
            <w:vAlign w:val="center"/>
          </w:tcPr>
          <w:p>
            <w:r>
              <w:t>3.159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D型-外贴保温板《12系列建筑标准设计图集DBJ03-22-2014》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>
      <w:pPr>
        <w:jc w:val="center"/>
        <w:rPr>
          <w:rFonts w:ascii="宋体" w:hAnsi="宋体"/>
          <w:sz w:val="18"/>
          <w:szCs w:val="18"/>
        </w:rPr>
      </w:pPr>
      <w:bookmarkStart w:id="20" w:name="严寒寒冷居建2018外墙K修正系数表"/>
      <w:r>
        <w:rPr>
          <w:rFonts w:hint="eastAsia" w:ascii="宋体" w:hAnsi="宋体"/>
          <w:sz w:val="18"/>
          <w:szCs w:val="18"/>
        </w:rPr>
        <w:t>表B.0.1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外墙</w:t>
      </w:r>
      <w:r>
        <w:rPr>
          <w:rFonts w:ascii="宋体" w:hAnsi="宋体"/>
          <w:sz w:val="18"/>
          <w:szCs w:val="18"/>
        </w:rPr>
        <w:t>平壁传热系数的修正系数</w:t>
      </w:r>
      <w:r>
        <w:rPr>
          <w:color w:val="000000"/>
          <w:sz w:val="24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0"/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5062.72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0.37</w:t>
            </w:r>
          </w:p>
        </w:tc>
        <w:tc>
          <w:tcPr>
            <w:tcW w:w="1661" w:type="dxa"/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6233.32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0.37</w:t>
            </w:r>
          </w:p>
        </w:tc>
        <w:tc>
          <w:tcPr>
            <w:tcW w:w="1661" w:type="dxa"/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4621.10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0.37</w:t>
            </w:r>
          </w:p>
        </w:tc>
        <w:tc>
          <w:tcPr>
            <w:tcW w:w="1661" w:type="dxa"/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4621.10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0.37</w:t>
            </w:r>
          </w:p>
        </w:tc>
        <w:tc>
          <w:tcPr>
            <w:tcW w:w="1661" w:type="dxa"/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20538.24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0.37</w:t>
            </w:r>
          </w:p>
        </w:tc>
        <w:tc>
          <w:tcPr>
            <w:tcW w:w="1661" w:type="dxa"/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0.37 × 1.20 = 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《严寒和寒冷地区居住建筑节能设计标准》JGJ 26-2018第4.2.1条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K值应当符合表4.2.1-1~4.2.1-5的要求(K≤0.45)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挑空楼板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金属三防门(聚氨酯发泡)</w:t>
            </w:r>
          </w:p>
        </w:tc>
        <w:tc>
          <w:tcPr>
            <w:tcW w:w="1358" w:type="dxa"/>
            <w:vAlign w:val="center"/>
          </w:tcPr>
          <w:p>
            <w:r>
              <w:t>462.00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1.10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《严寒和寒冷地区居住建筑节能设计标准》JGJ 26-2018第4.2.2条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K值应符合表4.2.2-1的要求(K≤1.70)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非供暖地下室顶板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钢筋混凝土120+岩棉板90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1.996</w:t>
            </w:r>
          </w:p>
        </w:tc>
        <w:tc>
          <w:tcPr>
            <w:tcW w:w="1064" w:type="dxa"/>
            <w:vAlign w:val="center"/>
          </w:tcPr>
          <w:p>
            <w:r>
              <w:t>1.646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2.097</w:t>
            </w:r>
          </w:p>
        </w:tc>
        <w:tc>
          <w:tcPr>
            <w:tcW w:w="1064" w:type="dxa"/>
            <w:vAlign w:val="center"/>
          </w:tcPr>
          <w:p>
            <w:r>
              <w:t>3.197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A型-外贴保温板《12系列建筑标准设计图集DBJ03-22-2014》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K值应符合表4.2.2-1的要求(K≤0.50)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钢筋混凝土墙200+岩棉板30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0.665</w:t>
            </w:r>
          </w:p>
        </w:tc>
        <w:tc>
          <w:tcPr>
            <w:tcW w:w="1064" w:type="dxa"/>
            <w:vAlign w:val="center"/>
          </w:tcPr>
          <w:p>
            <w:r>
              <w:t>0.549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0.803</w:t>
            </w:r>
          </w:p>
        </w:tc>
        <w:tc>
          <w:tcPr>
            <w:tcW w:w="1064" w:type="dxa"/>
            <w:vAlign w:val="center"/>
          </w:tcPr>
          <w:p>
            <w:r>
              <w:t>2.770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A型-外贴保温板《12系列建筑标准设计图集DBJ03-22-2014》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K值应符合表4.2.2-1的要求(K≤1.50)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金属三防门</w:t>
            </w:r>
          </w:p>
        </w:tc>
        <w:tc>
          <w:tcPr>
            <w:tcW w:w="1358" w:type="dxa"/>
            <w:vAlign w:val="center"/>
          </w:tcPr>
          <w:p>
            <w:r>
              <w:t>390.60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1.35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《严寒和寒冷地区居住建筑节能设计标准》JGJ 26-2018第4.2.2条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K值应符合表4.2.2-1的要求(K≤2.00)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供暖温差大于5K的隔墙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供暖温差大于5K的楼板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外窗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上限-60系列平开铝合金断热窗5+12A+5Low-E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2.00</w:t>
            </w:r>
          </w:p>
        </w:tc>
        <w:tc>
          <w:tcPr>
            <w:tcW w:w="956" w:type="dxa"/>
            <w:vAlign w:val="center"/>
          </w:tcPr>
          <w:p>
            <w:r>
              <w:t>0.48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p>
      <w:pPr>
        <w:pStyle w:val="3"/>
      </w:pPr>
      <w:r>
        <w:pict>
          <v:shape id="_x0000_i1026" o:spt="75" type="#_x0000_t75" style="height:96.8pt;width:453.3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外窗太阳得热系数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1061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0.48</w:t>
            </w:r>
          </w:p>
        </w:tc>
        <w:tc>
          <w:tcPr>
            <w:tcW w:w="2037" w:type="dxa"/>
            <w:vAlign w:val="center"/>
          </w:tcPr>
          <w:p>
            <w:r>
              <w:t>不要求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1062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0.48</w:t>
            </w:r>
          </w:p>
        </w:tc>
        <w:tc>
          <w:tcPr>
            <w:tcW w:w="2037" w:type="dxa"/>
            <w:vAlign w:val="center"/>
          </w:tcPr>
          <w:p>
            <w:r>
              <w:t>不要求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《严寒和寒冷地区居住建筑节能设计标准》JGJ 26-2018第4.2.2条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寒冷（B）区夏季外窗太阳得热系数不应大于表4.2.2-2的要求。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凸窗透明部分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上限-60系列平开铝合金断热窗5+12A+5Low-E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2.00</w:t>
            </w:r>
          </w:p>
        </w:tc>
        <w:tc>
          <w:tcPr>
            <w:tcW w:w="956" w:type="dxa"/>
            <w:vAlign w:val="center"/>
          </w:tcPr>
          <w:p>
            <w:r>
              <w:t>0.55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p>
      <w:pPr>
        <w:pStyle w:val="3"/>
      </w:pPr>
      <w:r>
        <w:pict>
          <v:shape id="_x0000_i1029" o:spt="75" type="#_x0000_t75" style="height:93.9pt;width:453.05pt;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凸窗板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凸窗顶板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1.944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197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2.032</w:t>
            </w:r>
          </w:p>
        </w:tc>
        <w:tc>
          <w:tcPr>
            <w:tcW w:w="1064" w:type="dxa"/>
            <w:vAlign w:val="center"/>
          </w:tcPr>
          <w:p>
            <w:r>
              <w:t>2.064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D型-外贴保温板《12系列建筑标准设计图集DBJ03-22-2014》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凸窗顶板K值应符合表4.2.1-1~4.2.1-5中外墙的要求(K≤0.45)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凸窗侧板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凸窗底板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挤塑聚苯板70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1.944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197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2.032</w:t>
            </w:r>
          </w:p>
        </w:tc>
        <w:tc>
          <w:tcPr>
            <w:tcW w:w="1064" w:type="dxa"/>
            <w:vAlign w:val="center"/>
          </w:tcPr>
          <w:p>
            <w:r>
              <w:t>2.064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0.4</w:t>
            </w: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D型-外贴保温板《12系列建筑标准设计图集DBJ03-22-2014》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凸窗底板K值应符合表4.2.1-1~4.2.1-5中外墙的要求(K≤0.45)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周边地面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非周边地面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岩棉板90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1.996</w:t>
            </w:r>
          </w:p>
        </w:tc>
        <w:tc>
          <w:tcPr>
            <w:tcW w:w="1064" w:type="dxa"/>
            <w:vAlign w:val="center"/>
          </w:tcPr>
          <w:p>
            <w:r>
              <w:t>1.646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1.996</w:t>
            </w:r>
          </w:p>
        </w:tc>
        <w:tc>
          <w:tcPr>
            <w:tcW w:w="1064" w:type="dxa"/>
            <w:vAlign w:val="center"/>
          </w:tcPr>
          <w:p>
            <w:r>
              <w:t>1.646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地下墙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挤塑聚苯板70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《严寒和寒冷地区居住建筑节能设计标准》JGJ 26-2018第4.2.1条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R值不应小于表4.2.1-1~4.2.1-5的限值(R≥1.60)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变形缝构造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《严寒和寒冷地区居住建筑节能设计标准》JGJ 26-2018第4.2.6条，分级与检测方法《建筑外门窗气密、水密、抗风压性能分级及检测方法》GB/T 7106-2008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外窗气密性不应低于《建筑外门窗气密、水密、抗风压性能分级及检测方法》GB/T 7106-2008的6级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封闭阳台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开间窗墙比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天窗传热系数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天窗太阳得热系数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阳台门下部门芯板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非供暖地下室顶板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凸窗透明部分</w:t>
            </w:r>
          </w:p>
        </w:tc>
        <w:tc>
          <w:tcPr>
            <w:tcW w:w="215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凸窗顶板</w:t>
            </w:r>
          </w:p>
        </w:tc>
        <w:tc>
          <w:tcPr>
            <w:tcW w:w="215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凸窗底板</w:t>
            </w:r>
          </w:p>
        </w:tc>
        <w:tc>
          <w:tcPr>
            <w:tcW w:w="215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16</w:t>
            </w:r>
          </w:p>
        </w:tc>
        <w:tc>
          <w:tcPr>
            <w:tcW w:w="4069" w:type="dxa"/>
            <w:vAlign w:val="center"/>
          </w:tcPr>
          <w:p>
            <w:r>
              <w:t>地下墙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17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bookmarkStart w:id="79" w:name="_GoBack"/>
            <w:bookmarkEnd w:id="79"/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热工性能权衡判断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本建筑按《严寒和寒冷地区居住建筑节能设计标准》JGJ 26-2018之规定进行强制性条文和必须满足条款的规定性指标检查，结果未能达标，按标准规定继续进行热工性能权衡判断。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综合权衡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计算条件</w:t>
      </w:r>
    </w:p>
    <w:p/>
    <w:tbl>
      <w:tblPr>
        <w:tblStyle w:val="18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1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2" w:name="参照建筑别名"/>
            <w:r>
              <w:rPr>
                <w:rFonts w:hAnsi="宋体"/>
                <w:szCs w:val="21"/>
              </w:rPr>
              <w:t>参照建筑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3" w:name="体形系数"/>
            <w:r>
              <w:rPr>
                <w:rFonts w:hint="eastAsia"/>
                <w:bCs/>
                <w:szCs w:val="21"/>
              </w:rPr>
              <w:t>0.28</w:t>
            </w:r>
            <w:bookmarkEnd w:id="23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4" w:name="参照建筑体形系数"/>
            <w:r>
              <w:rPr>
                <w:rFonts w:hint="eastAsia"/>
                <w:bCs/>
                <w:szCs w:val="21"/>
              </w:rPr>
              <w:t>0.28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5" w:name="屋顶K"/>
            <w:r>
              <w:rPr>
                <w:rFonts w:hint="eastAsia"/>
                <w:bCs/>
                <w:szCs w:val="21"/>
              </w:rPr>
              <w:t>0.19</w:t>
            </w:r>
            <w:bookmarkEnd w:id="25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6" w:name="参照建筑屋顶K"/>
            <w:r>
              <w:rPr>
                <w:rFonts w:hint="eastAsia"/>
                <w:bCs/>
                <w:szCs w:val="21"/>
              </w:rPr>
              <w:t>0.30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7" w:name="外墙K"/>
            <w:r>
              <w:rPr>
                <w:rFonts w:hint="eastAsia"/>
                <w:bCs/>
                <w:szCs w:val="21"/>
              </w:rPr>
              <w:t>0.44</w:t>
            </w:r>
            <w:bookmarkEnd w:id="27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8" w:name="参照建筑外墙K"/>
            <w:r>
              <w:rPr>
                <w:rFonts w:hint="eastAsia"/>
                <w:bCs/>
                <w:szCs w:val="21"/>
              </w:rPr>
              <w:t>0.45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9" w:name="天窗K"/>
            <w:r>
              <w:rPr>
                <w:rFonts w:hint="eastAsia"/>
                <w:bCs/>
                <w:szCs w:val="21"/>
              </w:rPr>
              <w:t>－</w:t>
            </w:r>
            <w:bookmarkEnd w:id="29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0" w:name="参照建筑天窗K"/>
            <w:r>
              <w:rPr>
                <w:rFonts w:hint="eastAsia"/>
                <w:bCs/>
                <w:szCs w:val="21"/>
              </w:rPr>
              <w:t>－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1" w:name="天窗SC"/>
            <w:r>
              <w:rPr>
                <w:rFonts w:hint="eastAsia"/>
                <w:bCs/>
                <w:szCs w:val="21"/>
              </w:rPr>
              <w:t>－</w:t>
            </w:r>
            <w:bookmarkEnd w:id="31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2" w:name="参照建筑天窗SC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3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4" w:name="参照建筑挑空楼板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非供暖地下室顶板</w:t>
            </w:r>
            <w:r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5" w:name="不采暖地下室上部地板K"/>
            <w:r>
              <w:rPr>
                <w:rFonts w:hint="eastAsia"/>
                <w:bCs/>
                <w:szCs w:val="21"/>
              </w:rPr>
              <w:t>0.43</w:t>
            </w:r>
            <w:bookmarkEnd w:id="35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6" w:name="参照建筑不采暖地下室上部地板K"/>
            <w:r>
              <w:rPr>
                <w:rFonts w:hint="eastAsia"/>
                <w:bCs/>
                <w:szCs w:val="21"/>
              </w:rPr>
              <w:t>0.50</w:t>
            </w:r>
            <w:bookmarkEnd w:id="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分隔供暖与非供暖空间的隔墙</w:t>
            </w:r>
            <w:r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7" w:name="户墙K"/>
            <w:r>
              <w:rPr>
                <w:rFonts w:hint="eastAsia"/>
                <w:bCs/>
                <w:szCs w:val="21"/>
              </w:rPr>
              <w:t>0.98</w:t>
            </w:r>
            <w:bookmarkEnd w:id="37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8" w:name="参照建筑户墙K"/>
            <w:r>
              <w:rPr>
                <w:rFonts w:hint="eastAsia"/>
                <w:bCs/>
                <w:szCs w:val="21"/>
              </w:rPr>
              <w:t>1.50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分隔供暖与非供暖空间的楼板</w:t>
            </w:r>
            <w:r>
              <w:rPr>
                <w:szCs w:val="21"/>
              </w:rPr>
              <w:t>K [W/(m2·K)]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9" w:name="不采暖地上室上部地板K"/>
            <w:bookmarkStart w:id="40" w:name="采暖与非采暖楼板K"/>
            <w:r>
              <w:rPr>
                <w:rFonts w:hint="eastAsia"/>
                <w:bCs/>
                <w:szCs w:val="21"/>
              </w:rPr>
              <w:t>－</w:t>
            </w:r>
            <w:bookmarkEnd w:id="39"/>
            <w:bookmarkEnd w:id="40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1" w:name="参照建筑采暖与非采暖楼板K"/>
            <w:bookmarkStart w:id="42" w:name="参照建筑不采暖地上室上部地板K"/>
            <w:r>
              <w:rPr>
                <w:rFonts w:hint="eastAsia"/>
                <w:bCs/>
                <w:szCs w:val="21"/>
              </w:rPr>
              <w:t>－</w:t>
            </w:r>
            <w:bookmarkEnd w:id="41"/>
            <w:bookmarkEnd w:id="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周边地面保温材料层热阻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3" w:name="周边地面保温层R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4" w:name="参照建筑周边地面保温层R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地下室外墙保温材料层热阻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5" w:name="地下墙保温层R"/>
            <w:r>
              <w:rPr>
                <w:rFonts w:hint="eastAsia"/>
                <w:bCs/>
                <w:szCs w:val="21"/>
              </w:rPr>
              <w:t>2.12</w:t>
            </w:r>
            <w:bookmarkEnd w:id="45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6" w:name="参照建筑地下墙保温层R"/>
            <w:r>
              <w:rPr>
                <w:rFonts w:hint="eastAsia"/>
                <w:bCs/>
                <w:szCs w:val="21"/>
              </w:rPr>
              <w:t>1.60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7" w:name="最不利开间窗墙比－南向"/>
            <w:bookmarkStart w:id="48" w:name="窗墙比－南向"/>
            <w:r>
              <w:rPr>
                <w:rFonts w:hint="eastAsia"/>
                <w:bCs/>
                <w:szCs w:val="21"/>
              </w:rPr>
              <w:t>0.40</w:t>
            </w:r>
            <w:bookmarkEnd w:id="47"/>
            <w:bookmarkEnd w:id="48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9" w:name="外窗K－南向"/>
            <w:bookmarkStart w:id="50" w:name="最不利窗墙比房间外窗K－南向"/>
            <w:r>
              <w:rPr>
                <w:rFonts w:hint="eastAsia"/>
                <w:bCs/>
                <w:szCs w:val="21"/>
              </w:rPr>
              <w:t>2.00</w:t>
            </w:r>
            <w:bookmarkEnd w:id="49"/>
            <w:bookmarkEnd w:id="50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外窗SHGC－夏季－南向"/>
            <w:r>
              <w:rPr>
                <w:rFonts w:hint="eastAsia"/>
                <w:bCs/>
                <w:szCs w:val="21"/>
              </w:rPr>
              <w:t>0.48</w:t>
            </w:r>
            <w:bookmarkEnd w:id="51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外窗K一档限值－南向"/>
            <w:bookmarkStart w:id="53" w:name="参照建筑外窗K－南向"/>
            <w:r>
              <w:rPr>
                <w:rFonts w:hint="eastAsia"/>
                <w:bCs/>
                <w:szCs w:val="21"/>
              </w:rPr>
              <w:t>2.20</w:t>
            </w:r>
            <w:bookmarkEnd w:id="52"/>
            <w:bookmarkEnd w:id="53"/>
          </w:p>
        </w:tc>
        <w:tc>
          <w:tcPr>
            <w:tcW w:w="705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54"/>
          </w:p>
        </w:tc>
        <w:tc>
          <w:tcPr>
            <w:tcW w:w="705" w:type="pct"/>
            <w:vMerge w:val="continue"/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0.27</w:t>
            </w:r>
            <w:bookmarkEnd w:id="55"/>
            <w:bookmarkEnd w:id="56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7" w:name="最不利窗墙比房间外窗K－北向"/>
            <w:bookmarkStart w:id="58" w:name="外窗K－北向"/>
            <w:r>
              <w:rPr>
                <w:rFonts w:hint="eastAsia"/>
                <w:bCs/>
                <w:szCs w:val="21"/>
              </w:rPr>
              <w:t>2.00</w:t>
            </w:r>
            <w:bookmarkEnd w:id="57"/>
            <w:bookmarkEnd w:id="58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>
              <w:rPr>
                <w:rFonts w:hint="eastAsia"/>
                <w:bCs/>
                <w:szCs w:val="21"/>
              </w:rPr>
              <w:t>0.48</w:t>
            </w:r>
            <w:bookmarkEnd w:id="59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0" w:name="外窗K一档限值－北向"/>
            <w:bookmarkStart w:id="61" w:name="参照建筑外窗K－北向"/>
            <w:r>
              <w:rPr>
                <w:rFonts w:hint="eastAsia"/>
                <w:bCs/>
                <w:szCs w:val="21"/>
              </w:rPr>
              <w:t>2.20</w:t>
            </w:r>
            <w:bookmarkEnd w:id="60"/>
            <w:bookmarkEnd w:id="61"/>
          </w:p>
        </w:tc>
        <w:tc>
          <w:tcPr>
            <w:tcW w:w="705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2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62"/>
          </w:p>
        </w:tc>
        <w:tc>
          <w:tcPr>
            <w:tcW w:w="705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3" w:name="最不利开间窗墙比－东向"/>
            <w:bookmarkStart w:id="64" w:name="窗墙比－东向"/>
            <w:r>
              <w:rPr>
                <w:rFonts w:hint="eastAsia"/>
                <w:bCs/>
                <w:szCs w:val="21"/>
              </w:rPr>
              <w:t>0.27</w:t>
            </w:r>
            <w:bookmarkEnd w:id="63"/>
            <w:bookmarkEnd w:id="64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5" w:name="最不利窗墙比房间外窗K－东向"/>
            <w:bookmarkStart w:id="66" w:name="外窗K－东向"/>
            <w:r>
              <w:rPr>
                <w:rFonts w:hint="eastAsia"/>
                <w:bCs/>
                <w:szCs w:val="21"/>
              </w:rPr>
              <w:t>2.00</w:t>
            </w:r>
            <w:bookmarkEnd w:id="65"/>
            <w:bookmarkEnd w:id="66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7" w:name="外窗SHGC－夏季－东向"/>
            <w:r>
              <w:rPr>
                <w:rFonts w:hint="eastAsia"/>
                <w:bCs/>
                <w:szCs w:val="21"/>
              </w:rPr>
              <w:t>0.48</w:t>
            </w:r>
            <w:bookmarkEnd w:id="67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8" w:name="外窗K一档限值－东向"/>
            <w:bookmarkStart w:id="69" w:name="参照建筑外窗K－东向"/>
            <w:r>
              <w:rPr>
                <w:rFonts w:hint="eastAsia"/>
                <w:bCs/>
                <w:szCs w:val="21"/>
              </w:rPr>
              <w:t>2.20</w:t>
            </w:r>
            <w:bookmarkEnd w:id="68"/>
            <w:bookmarkEnd w:id="69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0.30</w:t>
            </w:r>
            <w:r>
              <w:rPr>
                <w:bCs/>
                <w:szCs w:val="21"/>
              </w:rPr>
              <w:t>&lt;</w:t>
            </w:r>
            <w:r>
              <w:rPr>
                <w:rFonts w:hint="eastAsia"/>
                <w:bCs/>
                <w:szCs w:val="21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0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70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1" w:name="窗墙比－西向"/>
            <w:bookmarkStart w:id="72" w:name="最不利开间窗墙比－西向"/>
            <w:r>
              <w:rPr>
                <w:rFonts w:hint="eastAsia"/>
                <w:bCs/>
                <w:szCs w:val="21"/>
              </w:rPr>
              <w:t>0.27</w:t>
            </w:r>
            <w:bookmarkEnd w:id="71"/>
            <w:bookmarkEnd w:id="72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3" w:name="外窗K－西向"/>
            <w:bookmarkStart w:id="74" w:name="最不利窗墙比房间外窗K－西向"/>
            <w:r>
              <w:rPr>
                <w:rFonts w:hint="eastAsia"/>
                <w:bCs/>
                <w:szCs w:val="21"/>
              </w:rPr>
              <w:t>2.00</w:t>
            </w:r>
            <w:bookmarkEnd w:id="73"/>
            <w:bookmarkEnd w:id="74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5" w:name="外窗SHGC－夏季－西向"/>
            <w:r>
              <w:rPr>
                <w:rFonts w:hint="eastAsia"/>
                <w:bCs/>
                <w:szCs w:val="21"/>
              </w:rPr>
              <w:t>0.48</w:t>
            </w:r>
            <w:bookmarkEnd w:id="75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6" w:name="外窗K一档限值－西向"/>
            <w:bookmarkStart w:id="77" w:name="参照建筑外窗K－西向"/>
            <w:r>
              <w:rPr>
                <w:rFonts w:hint="eastAsia"/>
                <w:bCs/>
                <w:szCs w:val="21"/>
              </w:rPr>
              <w:t>2.20</w:t>
            </w:r>
            <w:bookmarkEnd w:id="76"/>
            <w:bookmarkEnd w:id="77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0.30</w:t>
            </w:r>
            <w:r>
              <w:rPr>
                <w:bCs/>
                <w:szCs w:val="21"/>
              </w:rPr>
              <w:t>&lt;</w:t>
            </w:r>
            <w:r>
              <w:rPr>
                <w:rFonts w:hint="eastAsia"/>
                <w:bCs/>
                <w:szCs w:val="21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8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78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综合权衡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供暖能耗(kWh/㎡)</w:t>
            </w:r>
          </w:p>
        </w:tc>
        <w:tc>
          <w:tcPr>
            <w:tcW w:w="2971" w:type="dxa"/>
            <w:vAlign w:val="center"/>
          </w:tcPr>
          <w:p>
            <w:r>
              <w:t>14.67</w:t>
            </w:r>
          </w:p>
        </w:tc>
        <w:tc>
          <w:tcPr>
            <w:tcW w:w="2971" w:type="dxa"/>
            <w:vAlign w:val="center"/>
          </w:tcPr>
          <w:p>
            <w:r>
              <w:t>15.50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耗热量(kWh/㎡)</w:t>
            </w:r>
          </w:p>
        </w:tc>
        <w:tc>
          <w:tcPr>
            <w:tcW w:w="2971" w:type="dxa"/>
            <w:vAlign w:val="center"/>
          </w:tcPr>
          <w:p>
            <w:r>
              <w:t>11.74</w:t>
            </w:r>
          </w:p>
        </w:tc>
        <w:tc>
          <w:tcPr>
            <w:tcW w:w="2971" w:type="dxa"/>
            <w:vAlign w:val="center"/>
          </w:tcPr>
          <w:p>
            <w:r>
              <w:t>12.40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《严寒和寒冷地区居住建筑节能设计标准》JGJ 26-2018第4.3.1条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设计建筑的供暖能耗不大于参照建筑的供暖能耗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强制窗墙比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地下墙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阳台门下部门芯板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非供暖地下室顶板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分隔供暖与非供暖空间的隔墙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分隔供暖与非供暖空间的户门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综合权衡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pict>
        <v:shape id="_x0000_i1025" o:spt="75" type="#_x0000_t75" style="height:13pt;width:67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RhNDc3OGI2MjI4NzYzYWJlNzBmMjZiMzE4NmFmMjgifQ=="/>
  </w:docVars>
  <w:rsids>
    <w:rsidRoot w:val="006B07F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363BC1"/>
    <w:rsid w:val="003D6F46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07F4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73D16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337BF"/>
    <w:rsid w:val="00C63237"/>
    <w:rsid w:val="00C97E25"/>
    <w:rsid w:val="00CA610C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17062BBD"/>
    <w:rsid w:val="531E2ADD"/>
    <w:rsid w:val="613E4A62"/>
    <w:rsid w:val="6DA52C2F"/>
    <w:rsid w:val="7800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Company>ths</Company>
  <Pages>17</Pages>
  <Words>5812</Words>
  <Characters>10744</Characters>
  <Lines>98</Lines>
  <Paragraphs>27</Paragraphs>
  <TotalTime>0</TotalTime>
  <ScaleCrop>false</ScaleCrop>
  <LinksUpToDate>false</LinksUpToDate>
  <CharactersWithSpaces>10880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2020-12-15T03:04:00Z</dcterms:created>
  <dc:creator>hus</dc:creator>
  <cp:lastModifiedBy>梨花沾衣.</cp:lastModifiedBy>
  <cp:lastPrinted>2411-12-31T16:00:00Z</cp:lastPrinted>
  <dcterms:modified xsi:type="dcterms:W3CDTF">2023-02-20T08:11:03Z</dcterms:modified>
  <dc:title>建筑节能设计报告书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43744662146B4178B7674FF26FFF99BE</vt:lpwstr>
  </property>
</Properties>
</file>