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工程名称"/>
            <w:bookmarkEnd w:id="0"/>
            <w:r>
              <w:rPr>
                <w:rFonts w:hint="eastAsia" w:ascii="宋体" w:hAnsi="宋体"/>
                <w:szCs w:val="21"/>
                <w:lang w:val="en-US" w:eastAsia="zh-CN"/>
              </w:rPr>
              <w:t>青蕴蘅院，稚子懿园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2021年8月5日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rPr>
          <w:lang w:val="en-US"/>
        </w:rPr>
        <w:drawing>
          <wp:inline distT="0" distB="0" distL="0" distR="0">
            <wp:extent cx="2019300" cy="20193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20210404</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T18056198568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Y="233"/>
        <w:tblW w:w="510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693"/>
        <w:gridCol w:w="1984"/>
        <w:gridCol w:w="23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9" w:type="dxa"/>
            <w:shd w:val="clear" w:color="auto" w:fill="E6E6E6"/>
          </w:tcPr>
          <w:p>
            <w:pPr>
              <w:pStyle w:val="3"/>
              <w:rPr>
                <w:lang w:val="en-US"/>
              </w:rPr>
            </w:pPr>
            <w:r>
              <w:rPr>
                <w:lang w:val="en-US"/>
              </w:rPr>
              <w:t>项目所在地</w:t>
            </w:r>
          </w:p>
        </w:tc>
        <w:tc>
          <w:tcPr>
            <w:tcW w:w="7028" w:type="dxa"/>
            <w:gridSpan w:val="3"/>
          </w:tcPr>
          <w:p>
            <w:pPr>
              <w:jc w:val="left"/>
              <w:rPr>
                <w:rFonts w:hint="eastAsia" w:eastAsia="微软雅黑"/>
                <w:lang w:val="en-US" w:eastAsia="zh-CN"/>
              </w:rPr>
            </w:pPr>
            <w:r>
              <w:rPr>
                <w:rFonts w:hint="eastAsia"/>
                <w:lang w:val="en-US" w:eastAsia="zh-CN"/>
              </w:rPr>
              <w:t>长春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9" w:type="dxa"/>
            <w:shd w:val="clear" w:color="auto" w:fill="E6E6E6"/>
          </w:tcPr>
          <w:p>
            <w:pPr>
              <w:pStyle w:val="3"/>
              <w:rPr>
                <w:lang w:val="en-US"/>
              </w:rPr>
            </w:pPr>
            <w:r>
              <w:rPr>
                <w:rFonts w:hint="eastAsia"/>
                <w:lang w:val="en-US"/>
              </w:rPr>
              <w:t>光气候分区</w:t>
            </w:r>
          </w:p>
        </w:tc>
        <w:tc>
          <w:tcPr>
            <w:tcW w:w="2694" w:type="dxa"/>
          </w:tcPr>
          <w:p>
            <w:pPr>
              <w:pStyle w:val="3"/>
              <w:rPr>
                <w:lang w:val="en-US"/>
              </w:rPr>
            </w:pPr>
            <w:bookmarkStart w:id="12" w:name="光气候分区"/>
            <w:r>
              <w:t>I</w:t>
            </w:r>
            <w:bookmarkEnd w:id="12"/>
          </w:p>
        </w:tc>
        <w:tc>
          <w:tcPr>
            <w:tcW w:w="1984" w:type="dxa"/>
            <w:shd w:val="clear" w:color="auto" w:fill="E0E0E0"/>
          </w:tcPr>
          <w:p>
            <w:pPr>
              <w:pStyle w:val="3"/>
              <w:rPr>
                <w:lang w:val="en-US"/>
              </w:rPr>
            </w:pPr>
            <w:r>
              <w:rPr>
                <w:rFonts w:hint="eastAsia"/>
                <w:lang w:val="en-US"/>
              </w:rPr>
              <w:t>光气候系数K</w:t>
            </w:r>
          </w:p>
        </w:tc>
        <w:tc>
          <w:tcPr>
            <w:tcW w:w="2350" w:type="dxa"/>
          </w:tcPr>
          <w:p>
            <w:pPr>
              <w:pStyle w:val="3"/>
              <w:rPr>
                <w:rFonts w:hint="default" w:eastAsia="微软雅黑"/>
                <w:lang w:val="en-US" w:eastAsia="zh-CN"/>
              </w:rPr>
            </w:pPr>
            <w:r>
              <w:rPr>
                <w:rFonts w:hint="eastAsia"/>
                <w:lang w:val="en-US" w:eastAsia="zh-CN"/>
              </w:rPr>
              <w:t>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9" w:type="dxa"/>
            <w:shd w:val="clear" w:color="auto" w:fill="E6E6E6"/>
          </w:tcPr>
          <w:p>
            <w:pPr>
              <w:pStyle w:val="3"/>
              <w:rPr>
                <w:lang w:val="en-US"/>
              </w:rPr>
            </w:pPr>
            <w:r>
              <w:rPr>
                <w:rFonts w:hint="eastAsia"/>
                <w:lang w:val="en-US"/>
              </w:rPr>
              <w:t>建筑面积</w:t>
            </w:r>
          </w:p>
        </w:tc>
        <w:tc>
          <w:tcPr>
            <w:tcW w:w="7028" w:type="dxa"/>
            <w:gridSpan w:val="3"/>
          </w:tcPr>
          <w:p>
            <w:pPr>
              <w:pStyle w:val="3"/>
              <w:rPr>
                <w:lang w:val="en-US"/>
              </w:rPr>
            </w:pPr>
            <w:r>
              <w:rPr>
                <w:rFonts w:hint="eastAsia"/>
                <w:lang w:val="en-US"/>
              </w:rPr>
              <w:t xml:space="preserve">地上  </w:t>
            </w:r>
            <w:r>
              <w:rPr>
                <w:rFonts w:hint="eastAsia" w:ascii="宋体" w:hAnsi="宋体"/>
                <w:lang w:val="en-US" w:eastAsia="zh-CN"/>
              </w:rPr>
              <w:t>4279.02</w:t>
            </w:r>
            <w:r>
              <w:rPr>
                <w:rFonts w:hint="eastAsia"/>
              </w:rPr>
              <w:t>㎡</w:t>
            </w:r>
            <w:r>
              <w:rPr>
                <w:rFonts w:hint="eastAsia"/>
                <w:lang w:val="en-US"/>
              </w:rPr>
              <w:t xml:space="preserve">    地下  </w:t>
            </w:r>
            <w:r>
              <w:rPr>
                <w:rFonts w:hint="eastAsia"/>
                <w:lang w:val="en-US" w:eastAsia="zh-CN"/>
              </w:rPr>
              <w:t>0</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9" w:type="dxa"/>
            <w:shd w:val="clear" w:color="auto" w:fill="E6E6E6"/>
          </w:tcPr>
          <w:p>
            <w:pPr>
              <w:pStyle w:val="3"/>
              <w:rPr>
                <w:lang w:val="en-US"/>
              </w:rPr>
            </w:pPr>
            <w:r>
              <w:rPr>
                <w:rFonts w:hint="eastAsia"/>
                <w:lang w:val="en-US"/>
              </w:rPr>
              <w:t>建筑层数</w:t>
            </w:r>
          </w:p>
        </w:tc>
        <w:tc>
          <w:tcPr>
            <w:tcW w:w="7028" w:type="dxa"/>
            <w:gridSpan w:val="3"/>
          </w:tcPr>
          <w:p>
            <w:pPr>
              <w:pStyle w:val="3"/>
              <w:rPr>
                <w:rFonts w:hint="eastAsia" w:eastAsia="微软雅黑"/>
                <w:lang w:val="en-US" w:eastAsia="zh-CN"/>
              </w:rPr>
            </w:pPr>
            <w:r>
              <w:rPr>
                <w:rFonts w:hint="eastAsia"/>
                <w:lang w:val="en-US"/>
              </w:rPr>
              <w:t xml:space="preserve">地上  </w:t>
            </w:r>
            <w:r>
              <w:rPr>
                <w:rFonts w:hint="eastAsia"/>
                <w:lang w:val="en-US" w:eastAsia="zh-CN"/>
              </w:rPr>
              <w:t>2</w:t>
            </w:r>
            <w:r>
              <w:rPr>
                <w:rFonts w:hint="eastAsia"/>
                <w:lang w:val="en-US"/>
              </w:rPr>
              <w:t xml:space="preserve">         地下</w:t>
            </w:r>
            <w:r>
              <w:rPr>
                <w:rFonts w:hint="eastAsia"/>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9" w:type="dxa"/>
            <w:shd w:val="clear" w:color="auto" w:fill="E6E6E6"/>
          </w:tcPr>
          <w:p>
            <w:pPr>
              <w:pStyle w:val="3"/>
              <w:rPr>
                <w:lang w:val="en-US"/>
              </w:rPr>
            </w:pPr>
            <w:r>
              <w:rPr>
                <w:rFonts w:hint="eastAsia"/>
                <w:lang w:val="en-US"/>
              </w:rPr>
              <w:t>建筑高度</w:t>
            </w:r>
          </w:p>
        </w:tc>
        <w:tc>
          <w:tcPr>
            <w:tcW w:w="7028" w:type="dxa"/>
            <w:gridSpan w:val="3"/>
          </w:tcPr>
          <w:p>
            <w:pPr>
              <w:pStyle w:val="3"/>
              <w:rPr>
                <w:lang w:val="en-US"/>
              </w:rPr>
            </w:pPr>
            <w:r>
              <w:rPr>
                <w:rFonts w:hint="eastAsia"/>
                <w:lang w:val="en-US"/>
              </w:rPr>
              <w:t xml:space="preserve">地上 </w:t>
            </w:r>
            <w:r>
              <w:rPr>
                <w:rFonts w:hint="eastAsia"/>
                <w:lang w:val="en-US" w:eastAsia="zh-CN"/>
              </w:rPr>
              <w:t>7</w:t>
            </w:r>
            <w:r>
              <w:rPr>
                <w:rFonts w:hint="eastAsia"/>
                <w:lang w:val="en-US"/>
              </w:rPr>
              <w:t xml:space="preserve"> m     地下  </w:t>
            </w:r>
            <w:bookmarkStart w:id="13" w:name="地下建筑高度"/>
            <w:r>
              <w:t>0</w:t>
            </w:r>
            <w:bookmarkEnd w:id="13"/>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9" w:type="dxa"/>
            <w:shd w:val="clear" w:color="auto" w:fill="E6E6E6"/>
          </w:tcPr>
          <w:p>
            <w:pPr>
              <w:pStyle w:val="3"/>
              <w:rPr>
                <w:lang w:val="en-US"/>
              </w:rPr>
            </w:pPr>
            <w:r>
              <w:rPr>
                <w:rFonts w:hint="eastAsia"/>
              </w:rPr>
              <w:t>备注</w:t>
            </w:r>
          </w:p>
        </w:tc>
        <w:tc>
          <w:tcPr>
            <w:tcW w:w="7028" w:type="dxa"/>
            <w:gridSpan w:val="3"/>
          </w:tcPr>
          <w:p>
            <w:pPr>
              <w:pStyle w:val="3"/>
              <w:rPr>
                <w:lang w:val="en-US"/>
              </w:rPr>
            </w:pPr>
            <w:bookmarkStart w:id="14" w:name="备注"/>
            <w:bookmarkEnd w:id="14"/>
          </w:p>
        </w:tc>
      </w:tr>
    </w:tbl>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15" w:name="采光标准"/>
      <w:r>
        <w:rPr>
          <w:lang w:val="en-US"/>
        </w:rPr>
        <w:t>GB50033-2013</w:t>
      </w:r>
      <w:bookmarkEnd w:id="15"/>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16" w:name="达标率评价要求"/>
      <w:r>
        <w:t>60%</w:t>
      </w:r>
      <w:bookmarkEnd w:id="16"/>
      <w:r>
        <w:t xml:space="preserve">, </w:t>
      </w:r>
      <w:r>
        <w:rPr>
          <w:rFonts w:hint="eastAsia"/>
        </w:rPr>
        <w:t>得</w:t>
      </w:r>
      <w:bookmarkStart w:id="17" w:name="达标率评价分值"/>
      <w:r>
        <w:t>3</w:t>
      </w:r>
      <w:bookmarkEnd w:id="17"/>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18" w:name="_Toc275165382"/>
      <w:bookmarkStart w:id="19" w:name="_Toc264569232"/>
      <w:bookmarkStart w:id="20" w:name="_Toc290209312"/>
      <w:bookmarkStart w:id="21" w:name="_Toc290209336"/>
      <w:bookmarkStart w:id="22" w:name="_Toc264043625"/>
      <w:bookmarkStart w:id="23" w:name="_Toc290149054"/>
      <w:bookmarkStart w:id="24" w:name="_Toc312399791"/>
      <w:r>
        <w:rPr>
          <w:rFonts w:hint="eastAsia"/>
        </w:rPr>
        <w:t>采光分析</w:t>
      </w:r>
      <w:r>
        <w:t>概述</w:t>
      </w:r>
      <w:bookmarkEnd w:id="18"/>
      <w:bookmarkEnd w:id="19"/>
      <w:bookmarkEnd w:id="20"/>
      <w:bookmarkEnd w:id="21"/>
      <w:bookmarkEnd w:id="22"/>
      <w:bookmarkEnd w:id="23"/>
      <w:bookmarkEnd w:id="24"/>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0" distR="0">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69975" cy="44831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25" w:name="_Toc264043630"/>
      <w:bookmarkStart w:id="26" w:name="_Toc264569237"/>
      <w:bookmarkStart w:id="27" w:name="_Toc275165387"/>
      <w:bookmarkStart w:id="28" w:name="_Toc290149059"/>
      <w:bookmarkStart w:id="29" w:name="_Toc290209341"/>
      <w:bookmarkStart w:id="30" w:name="_Toc312399796"/>
      <w:bookmarkStart w:id="31" w:name="_Toc290209317"/>
      <w:r>
        <w:t>分析软件</w:t>
      </w:r>
      <w:bookmarkEnd w:id="25"/>
      <w:bookmarkEnd w:id="26"/>
      <w:bookmarkEnd w:id="27"/>
      <w:bookmarkEnd w:id="28"/>
      <w:bookmarkEnd w:id="29"/>
      <w:bookmarkEnd w:id="30"/>
      <w:bookmarkEnd w:id="31"/>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2" w:name="_Toc312399795"/>
      <w:bookmarkStart w:id="33" w:name="_Toc264569236"/>
      <w:bookmarkStart w:id="34" w:name="_Toc275165386"/>
      <w:bookmarkStart w:id="35" w:name="_Toc290209340"/>
      <w:bookmarkStart w:id="36" w:name="_Toc264043629"/>
      <w:bookmarkStart w:id="37" w:name="_Toc290209316"/>
      <w:bookmarkStart w:id="38" w:name="_Toc290149058"/>
      <w:r>
        <w:t>模拟</w:t>
      </w:r>
      <w:bookmarkEnd w:id="32"/>
      <w:bookmarkEnd w:id="33"/>
      <w:bookmarkEnd w:id="34"/>
      <w:bookmarkEnd w:id="35"/>
      <w:bookmarkEnd w:id="36"/>
      <w:bookmarkEnd w:id="37"/>
      <w:bookmarkEnd w:id="38"/>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39" w:name="分析面高"/>
      <w:r>
        <w:t>0.75</w:t>
      </w:r>
      <w:bookmarkEnd w:id="39"/>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0" w:name="网格划分小房间面积"/>
            <w:r>
              <w:rPr>
                <w:szCs w:val="18"/>
              </w:rPr>
              <w:t>10</w:t>
            </w:r>
            <w:bookmarkEnd w:id="40"/>
          </w:p>
        </w:tc>
        <w:tc>
          <w:tcPr>
            <w:tcW w:w="3272" w:type="dxa"/>
            <w:shd w:val="clear" w:color="auto" w:fill="auto"/>
            <w:vAlign w:val="center"/>
          </w:tcPr>
          <w:p>
            <w:pPr>
              <w:rPr>
                <w:szCs w:val="18"/>
              </w:rPr>
            </w:pPr>
            <w:bookmarkStart w:id="41" w:name="小房间网格大小"/>
            <w:r>
              <w:rPr>
                <w:szCs w:val="18"/>
              </w:rPr>
              <w:t>0.25</w:t>
            </w:r>
            <w:bookmarkEnd w:id="4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2" w:name="网格划分房间面积"/>
            <w:r>
              <w:rPr>
                <w:szCs w:val="18"/>
              </w:rPr>
              <w:t>10~100</w:t>
            </w:r>
            <w:bookmarkEnd w:id="42"/>
          </w:p>
        </w:tc>
        <w:tc>
          <w:tcPr>
            <w:tcW w:w="3272" w:type="dxa"/>
            <w:shd w:val="clear" w:color="auto" w:fill="auto"/>
            <w:vAlign w:val="center"/>
          </w:tcPr>
          <w:p>
            <w:pPr>
              <w:rPr>
                <w:szCs w:val="18"/>
              </w:rPr>
            </w:pPr>
            <w:bookmarkStart w:id="43" w:name="网格大小"/>
            <w:r>
              <w:rPr>
                <w:szCs w:val="18"/>
              </w:rPr>
              <w:t>0.50</w:t>
            </w:r>
            <w:bookmarkEnd w:id="4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4" w:name="网格划分大房间面积"/>
            <w:r>
              <w:rPr>
                <w:szCs w:val="18"/>
              </w:rPr>
              <w:t>100</w:t>
            </w:r>
            <w:bookmarkEnd w:id="44"/>
          </w:p>
        </w:tc>
        <w:tc>
          <w:tcPr>
            <w:tcW w:w="3272" w:type="dxa"/>
            <w:shd w:val="clear" w:color="auto" w:fill="auto"/>
            <w:vAlign w:val="center"/>
          </w:tcPr>
          <w:p>
            <w:pPr>
              <w:rPr>
                <w:szCs w:val="18"/>
              </w:rPr>
            </w:pPr>
            <w:bookmarkStart w:id="45" w:name="大房间网格大小"/>
            <w:r>
              <w:rPr>
                <w:szCs w:val="18"/>
              </w:rPr>
              <w:t>1.00</w:t>
            </w:r>
            <w:bookmarkEnd w:id="45"/>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46" w:name="顶棚反射比"/>
            <w:r>
              <w:t>0.75</w:t>
            </w:r>
            <w:bookmarkEnd w:id="46"/>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47" w:name="地面反射比"/>
            <w:r>
              <w:t>0.30</w:t>
            </w:r>
            <w:bookmarkEnd w:id="47"/>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48" w:name="墙面反射比"/>
            <w:r>
              <w:t>0.60</w:t>
            </w:r>
            <w:bookmarkEnd w:id="48"/>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49" w:name="外表面反射比"/>
            <w:r>
              <w:t>0.50</w:t>
            </w:r>
            <w:bookmarkEnd w:id="49"/>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0" w:name="_Toc422822724"/>
      <w:r>
        <w:rPr>
          <w:rFonts w:hint="eastAsia"/>
        </w:rPr>
        <w:t>门窗类型参数</w:t>
      </w:r>
      <w:bookmarkEnd w:id="50"/>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1" w:name="窗"/>
      <w:r>
        <w:t>普通</w:t>
      </w:r>
      <w:r>
        <w:rPr>
          <w:rFonts w:hint="eastAsia"/>
        </w:rPr>
        <w:t>窗</w:t>
      </w:r>
    </w:p>
    <w:bookmarkEnd w:id="51"/>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1300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C1221</w:t>
            </w:r>
          </w:p>
        </w:tc>
        <w:tc>
          <w:tcPr>
            <w:tcW w:w="1245" w:type="dxa"/>
            <w:vAlign w:val="center"/>
          </w:tcPr>
          <w:p>
            <w:r>
              <w:t>1200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风洞1200x300</w:t>
            </w:r>
          </w:p>
        </w:tc>
        <w:tc>
          <w:tcPr>
            <w:tcW w:w="1245" w:type="dxa"/>
            <w:vAlign w:val="center"/>
          </w:tcPr>
          <w:p>
            <w:r>
              <w:t>1200</w:t>
            </w:r>
          </w:p>
        </w:tc>
        <w:tc>
          <w:tcPr>
            <w:tcW w:w="1245" w:type="dxa"/>
            <w:vAlign w:val="center"/>
          </w:tcPr>
          <w:p>
            <w:r>
              <w:t>300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风洞450x2000</w:t>
            </w:r>
          </w:p>
        </w:tc>
        <w:tc>
          <w:tcPr>
            <w:tcW w:w="1245" w:type="dxa"/>
            <w:vAlign w:val="center"/>
          </w:tcPr>
          <w:p>
            <w:r>
              <w:t>450</w:t>
            </w:r>
          </w:p>
        </w:tc>
        <w:tc>
          <w:tcPr>
            <w:tcW w:w="1245" w:type="dxa"/>
            <w:vAlign w:val="center"/>
          </w:tcPr>
          <w:p>
            <w:r>
              <w:t>2000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风洞600x1000</w:t>
            </w:r>
          </w:p>
        </w:tc>
        <w:tc>
          <w:tcPr>
            <w:tcW w:w="1245" w:type="dxa"/>
            <w:vAlign w:val="center"/>
          </w:tcPr>
          <w:p>
            <w:r>
              <w:t>600</w:t>
            </w:r>
          </w:p>
        </w:tc>
        <w:tc>
          <w:tcPr>
            <w:tcW w:w="1245" w:type="dxa"/>
            <w:vAlign w:val="center"/>
          </w:tcPr>
          <w:p>
            <w:r>
              <w:t>1000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2" w:name="_Toc422822726"/>
      <w:bookmarkStart w:id="53" w:name="幕墙"/>
      <w:r>
        <w:rPr>
          <w:rFonts w:hint="eastAsia"/>
        </w:rPr>
        <w:t>玻璃幕墙</w:t>
      </w:r>
      <w:bookmarkEnd w:id="52"/>
    </w:p>
    <w:bookmarkEnd w:id="53"/>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58" w:type="dxa"/>
            <w:vAlign w:val="center"/>
          </w:tcPr>
          <w:p/>
        </w:tc>
        <w:tc>
          <w:tcPr>
            <w:tcW w:w="1245" w:type="dxa"/>
            <w:vAlign w:val="center"/>
          </w:tcPr>
          <w:p>
            <w:r>
              <w:t>11153</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4" w:name="窗污染折减系数"/>
      <w:bookmarkEnd w:id="54"/>
    </w:p>
    <w:p>
      <w:pPr>
        <w:pStyle w:val="2"/>
      </w:pPr>
      <w:bookmarkStart w:id="55" w:name="_Toc422822729"/>
      <w:r>
        <w:rPr>
          <w:rFonts w:hint="eastAsia"/>
        </w:rPr>
        <w:t>分析统计结果</w:t>
      </w:r>
      <w:bookmarkEnd w:id="55"/>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p>
      <w:pPr>
        <w:rPr>
          <w:lang w:val="en-US"/>
        </w:rPr>
      </w:pPr>
      <w:bookmarkStart w:id="56" w:name="达标率表格"/>
      <w:bookmarkEnd w:id="56"/>
      <w:r>
        <w:drawing>
          <wp:inline distT="0" distB="0" distL="0" distR="0">
            <wp:extent cx="4846955" cy="2656205"/>
            <wp:effectExtent l="0" t="0" r="1460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860026" cy="2663477"/>
                    </a:xfrm>
                    <a:prstGeom prst="rect">
                      <a:avLst/>
                    </a:prstGeom>
                  </pic:spPr>
                </pic:pic>
              </a:graphicData>
            </a:graphic>
          </wp:inline>
        </w:drawing>
      </w:r>
    </w:p>
    <w:p>
      <w:pPr>
        <w:pStyle w:val="2"/>
      </w:pPr>
      <w:bookmarkStart w:id="57" w:name="_Toc422822730"/>
      <w:r>
        <w:rPr>
          <w:rFonts w:hint="eastAsia"/>
        </w:rPr>
        <w:t>达标率彩图</w:t>
      </w:r>
      <w:bookmarkEnd w:id="57"/>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58" w:name="达标图"/>
      <w:bookmarkEnd w:id="58"/>
    </w:p>
    <w:p>
      <w:pPr>
        <w:rPr>
          <w:sz w:val="18"/>
          <w:lang w:val="en-US"/>
        </w:rPr>
      </w:pPr>
    </w:p>
    <w:p>
      <w:r>
        <w:drawing>
          <wp:inline distT="0" distB="0" distL="114300" distR="114300">
            <wp:extent cx="5751830" cy="2372360"/>
            <wp:effectExtent l="0" t="0" r="8890" b="5080"/>
            <wp:docPr id="1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
                    <pic:cNvPicPr>
                      <a:picLocks noChangeAspect="1"/>
                    </pic:cNvPicPr>
                  </pic:nvPicPr>
                  <pic:blipFill>
                    <a:blip r:embed="rId9"/>
                    <a:stretch>
                      <a:fillRect/>
                    </a:stretch>
                  </pic:blipFill>
                  <pic:spPr>
                    <a:xfrm>
                      <a:off x="0" y="0"/>
                      <a:ext cx="5751830" cy="2372360"/>
                    </a:xfrm>
                    <a:prstGeom prst="rect">
                      <a:avLst/>
                    </a:prstGeom>
                    <a:noFill/>
                    <a:ln>
                      <a:noFill/>
                    </a:ln>
                  </pic:spPr>
                </pic:pic>
              </a:graphicData>
            </a:graphic>
          </wp:inline>
        </w:drawing>
      </w:r>
    </w:p>
    <w:p>
      <w:pPr>
        <w:rPr>
          <w:lang w:val="en-US"/>
        </w:rPr>
      </w:pPr>
      <w:r>
        <w:drawing>
          <wp:inline distT="0" distB="0" distL="114300" distR="114300">
            <wp:extent cx="2623185" cy="2186940"/>
            <wp:effectExtent l="0" t="0" r="13335" b="7620"/>
            <wp:docPr id="1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2"/>
                    <pic:cNvPicPr>
                      <a:picLocks noChangeAspect="1"/>
                    </pic:cNvPicPr>
                  </pic:nvPicPr>
                  <pic:blipFill>
                    <a:blip r:embed="rId10"/>
                    <a:stretch>
                      <a:fillRect/>
                    </a:stretch>
                  </pic:blipFill>
                  <pic:spPr>
                    <a:xfrm>
                      <a:off x="0" y="0"/>
                      <a:ext cx="2623185" cy="2186940"/>
                    </a:xfrm>
                    <a:prstGeom prst="rect">
                      <a:avLst/>
                    </a:prstGeom>
                    <a:noFill/>
                    <a:ln>
                      <a:noFill/>
                    </a:ln>
                  </pic:spPr>
                </pic:pic>
              </a:graphicData>
            </a:graphic>
          </wp:inline>
        </w:drawing>
      </w:r>
    </w:p>
    <w:p>
      <w:pPr>
        <w:pStyle w:val="2"/>
      </w:pPr>
      <w:bookmarkStart w:id="59" w:name="_Toc422822731"/>
      <w:r>
        <w:rPr>
          <w:rFonts w:hint="eastAsia"/>
        </w:rPr>
        <w:t>评价结论</w:t>
      </w:r>
      <w:bookmarkEnd w:id="59"/>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pPr>
              <w:rPr>
                <w:rFonts w:hint="default" w:eastAsia="微软雅黑"/>
                <w:lang w:val="en-US" w:eastAsia="zh-CN"/>
              </w:rPr>
            </w:pPr>
            <w:r>
              <w:rPr>
                <w:rFonts w:hint="eastAsia"/>
                <w:lang w:val="en-US" w:eastAsia="zh-CN"/>
              </w:rPr>
              <w:t>4279.02</w:t>
            </w:r>
          </w:p>
        </w:tc>
        <w:tc>
          <w:tcPr>
            <w:tcW w:w="3420" w:type="dxa"/>
            <w:vAlign w:val="center"/>
          </w:tcPr>
          <w:p>
            <w:pPr>
              <w:rPr>
                <w:rFonts w:hint="default" w:eastAsia="微软雅黑"/>
                <w:lang w:val="en-US" w:eastAsia="zh-CN"/>
              </w:rPr>
            </w:pPr>
            <w:r>
              <w:rPr>
                <w:rFonts w:hint="eastAsia"/>
                <w:lang w:val="en-US" w:eastAsia="zh-CN"/>
              </w:rPr>
              <w:t>3733.05</w:t>
            </w:r>
          </w:p>
        </w:tc>
        <w:tc>
          <w:tcPr>
            <w:tcW w:w="1980" w:type="dxa"/>
            <w:vAlign w:val="center"/>
          </w:tcPr>
          <w:p>
            <w:pPr>
              <w:rPr>
                <w:rFonts w:hint="default" w:eastAsia="微软雅黑"/>
                <w:lang w:val="en-US" w:eastAsia="zh-CN"/>
              </w:rPr>
            </w:pPr>
            <w:r>
              <w:rPr>
                <w:rFonts w:hint="eastAsia"/>
                <w:lang w:val="en-US" w:eastAsia="zh-CN"/>
              </w:rPr>
              <w:t>87.2</w:t>
            </w:r>
          </w:p>
        </w:tc>
        <w:tc>
          <w:tcPr>
            <w:tcW w:w="1260" w:type="dxa"/>
            <w:vAlign w:val="center"/>
          </w:tcPr>
          <w:p>
            <w:pPr>
              <w:rPr>
                <w:rFonts w:hint="eastAsia" w:eastAsia="微软雅黑"/>
                <w:lang w:eastAsia="zh-CN"/>
              </w:rPr>
            </w:pPr>
            <w:r>
              <w:rPr>
                <w:rFonts w:hint="eastAsia"/>
                <w:lang w:val="en-US" w:eastAsia="zh-CN"/>
              </w:rPr>
              <w:t>3</w:t>
            </w:r>
            <w:bookmarkStart w:id="60" w:name="_GoBack"/>
            <w:bookmarkEnd w:id="60"/>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Dali202</w:t>
    </w:r>
    <w:r>
      <w:rPr>
        <w:rFonts w:hint="eastAsia"/>
      </w:rPr>
      <w:t>2</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lang w:val="en-US"/>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NDc3OGI2MjI4NzYzYWJlNzBmMjZiMzE4NmFmMjgifQ=="/>
  </w:docVars>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46EB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datastoreItem>
</file>

<file path=docProps/app.xml><?xml version="1.0" encoding="utf-8"?>
<Properties xmlns="http://schemas.openxmlformats.org/officeDocument/2006/extended-properties" xmlns:vt="http://schemas.openxmlformats.org/officeDocument/2006/docPropsVTypes">
  <Template>tmp7</Template>
  <Company>ths</Company>
  <Pages>8</Pages>
  <Words>2724</Words>
  <Characters>3427</Characters>
  <Lines>27</Lines>
  <Paragraphs>7</Paragraphs>
  <TotalTime>50</TotalTime>
  <ScaleCrop>false</ScaleCrop>
  <LinksUpToDate>false</LinksUpToDate>
  <CharactersWithSpaces>3491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2021-08-05T09:00:00Z</dcterms:created>
  <dc:creator>Windows 用户</dc:creator>
  <cp:lastModifiedBy>梨花沾衣.</cp:lastModifiedBy>
  <cp:lastPrinted>2411-12-31T16:00:00Z</cp:lastPrinted>
  <dcterms:modified xsi:type="dcterms:W3CDTF">2023-02-21T15:10:10Z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CE9D3F35D3DD4C0A85723FD74E347865</vt:lpwstr>
  </property>
</Properties>
</file>