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长春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bookmarkStart w:id="8" w:name="采用软件"/>
            <w:bookmarkStart w:id="9" w:name="软件版本"/>
            <w:bookmarkStart w:id="10" w:name="加密锁号"/>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rPr>
          <w:rFonts w:ascii="宋体" w:hAnsi="宋体"/>
          <w:b/>
          <w:bCs/>
          <w:sz w:val="32"/>
          <w:szCs w:val="32"/>
        </w:rPr>
        <w:br w:type="page"/>
      </w:r>
      <w:bookmarkStart w:id="11" w:name="目录"/>
    </w:p>
    <w:p>
      <w:pPr>
        <w:pStyle w:val="2"/>
        <w:rPr>
          <w:lang w:val="en-US"/>
        </w:rPr>
      </w:pPr>
      <w:bookmarkStart w:id="12" w:name="_Toc3647"/>
      <w:bookmarkStart w:id="13" w:name="_Toc452108759"/>
      <w:r>
        <w:rPr>
          <w:rFonts w:hint="eastAsia"/>
        </w:rPr>
        <w:t>项目概况</w:t>
      </w:r>
      <w:bookmarkEnd w:id="12"/>
      <w:bookmarkEnd w:id="13"/>
      <w:bookmarkStart w:id="14" w:name="项目概况"/>
      <w:bookmarkEnd w:id="14"/>
    </w:p>
    <w:tbl>
      <w:tblPr>
        <w:tblStyle w:val="21"/>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712"/>
        <w:gridCol w:w="2984"/>
        <w:gridCol w:w="1998"/>
        <w:gridCol w:w="23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jc w:val="left"/>
              <w:rPr>
                <w:rFonts w:hint="eastAsia" w:eastAsia="微软雅黑"/>
                <w:lang w:val="en-US" w:eastAsia="zh-CN"/>
              </w:rPr>
            </w:pPr>
            <w:r>
              <w:rPr>
                <w:rFonts w:hint="eastAsia"/>
                <w:lang w:val="en-US" w:eastAsia="zh-CN"/>
              </w:rPr>
              <w:t>长春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rFonts w:hint="default" w:eastAsia="微软雅黑"/>
                <w:lang w:val="en-US" w:eastAsia="zh-CN"/>
              </w:rPr>
            </w:pPr>
            <w:r>
              <w:rPr>
                <w:rFonts w:hint="eastAsia"/>
                <w:lang w:val="en-US" w:eastAsia="zh-CN"/>
              </w:rPr>
              <w:t>0.85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r>
              <w:rPr>
                <w:rFonts w:hint="eastAsia" w:ascii="宋体" w:hAnsi="宋体"/>
                <w:lang w:val="en-US" w:eastAsia="zh-CN"/>
              </w:rPr>
              <w:t>4279.02</w:t>
            </w:r>
            <w:r>
              <w:rPr>
                <w:rFonts w:hint="eastAsia"/>
              </w:rPr>
              <w:t>㎡</w:t>
            </w:r>
            <w:r>
              <w:rPr>
                <w:rFonts w:hint="eastAsia"/>
                <w:lang w:val="en-US"/>
              </w:rPr>
              <w:t xml:space="preserve">    地下  </w:t>
            </w:r>
            <w:r>
              <w:rPr>
                <w:rFonts w:hint="eastAsia"/>
                <w:lang w:val="en-US" w:eastAsia="zh-CN"/>
              </w:rPr>
              <w:t>0</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rFonts w:hint="eastAsia" w:eastAsia="微软雅黑"/>
                <w:lang w:val="en-US" w:eastAsia="zh-CN"/>
              </w:rPr>
            </w:pPr>
            <w:r>
              <w:rPr>
                <w:rFonts w:hint="eastAsia"/>
                <w:lang w:val="en-US"/>
              </w:rPr>
              <w:t xml:space="preserve">地上  </w:t>
            </w:r>
            <w:r>
              <w:rPr>
                <w:rFonts w:hint="eastAsia"/>
                <w:lang w:val="en-US" w:eastAsia="zh-CN"/>
              </w:rPr>
              <w:t>2</w:t>
            </w:r>
            <w:r>
              <w:rPr>
                <w:rFonts w:hint="eastAsia"/>
                <w:lang w:val="en-US"/>
              </w:rPr>
              <w:t xml:space="preserve">         地下</w:t>
            </w:r>
            <w:r>
              <w:rPr>
                <w:rFonts w:hint="eastAsia"/>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r>
              <w:rPr>
                <w:rFonts w:hint="eastAsia"/>
                <w:lang w:val="en-US" w:eastAsia="zh-CN"/>
              </w:rPr>
              <w:t>7</w:t>
            </w:r>
            <w:r>
              <w:rPr>
                <w:rFonts w:hint="eastAsia"/>
                <w:lang w:val="en-US"/>
              </w:rPr>
              <w:t xml:space="preserve"> m     地下  </w:t>
            </w:r>
            <w:bookmarkStart w:id="16" w:name="地下建筑高度"/>
            <w:r>
              <w:t>0</w:t>
            </w:r>
            <w:bookmarkEnd w:id="16"/>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17" w:name="备注"/>
            <w:bookmarkEnd w:id="17"/>
          </w:p>
        </w:tc>
      </w:tr>
    </w:tbl>
    <w:p/>
    <w:p>
      <w:pPr>
        <w:jc w:val="center"/>
        <w:rPr>
          <w:szCs w:val="21"/>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8" w:name="_Toc452108760"/>
      <w:bookmarkStart w:id="19" w:name="_Toc1821"/>
      <w:r>
        <w:rPr>
          <w:rFonts w:hint="eastAsia"/>
        </w:rPr>
        <w:t>总</w:t>
      </w:r>
      <w:r>
        <w:t>平面图</w:t>
      </w:r>
      <w:bookmarkEnd w:id="18"/>
      <w:bookmarkEnd w:id="19"/>
    </w:p>
    <w:p>
      <w:pPr>
        <w:pStyle w:val="3"/>
        <w:ind w:firstLine="0" w:firstLineChars="0"/>
        <w:jc w:val="both"/>
        <w:rPr>
          <w:rFonts w:hint="eastAsia" w:eastAsia="宋体"/>
          <w:lang w:val="en-US" w:eastAsia="zh-CN"/>
        </w:rPr>
      </w:pPr>
      <w:bookmarkStart w:id="20" w:name="总平面图图例表"/>
      <w:r>
        <w:rPr>
          <w:rFonts w:hint="eastAsia"/>
          <w:lang w:val="en-US"/>
        </w:rPr>
        <w:t xml:space="preserve"> </w:t>
      </w:r>
      <w:bookmarkStart w:id="21" w:name="总平面图"/>
      <w:bookmarkEnd w:id="21"/>
      <w:r>
        <w:rPr>
          <w:rFonts w:hint="eastAsia" w:eastAsia="宋体"/>
          <w:lang w:val="en-US" w:eastAsia="zh-CN"/>
        </w:rPr>
        <w:drawing>
          <wp:inline distT="0" distB="0" distL="114300" distR="114300">
            <wp:extent cx="6389370" cy="3874135"/>
            <wp:effectExtent l="0" t="0" r="11430" b="12065"/>
            <wp:docPr id="46" name="图片 46" descr="e4d2dd0dc69420578cb70b658c04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e4d2dd0dc69420578cb70b658c04d16"/>
                    <pic:cNvPicPr>
                      <a:picLocks noChangeAspect="1"/>
                    </pic:cNvPicPr>
                  </pic:nvPicPr>
                  <pic:blipFill>
                    <a:blip r:embed="rId10"/>
                    <a:stretch>
                      <a:fillRect/>
                    </a:stretch>
                  </pic:blipFill>
                  <pic:spPr>
                    <a:xfrm>
                      <a:off x="0" y="0"/>
                      <a:ext cx="6389370" cy="387413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w:t>
      </w:r>
      <w:bookmarkStart w:id="184" w:name="_GoBack"/>
      <w:bookmarkEnd w:id="184"/>
      <w:r>
        <w:rPr>
          <w:rFonts w:hint="eastAsia"/>
        </w:rPr>
        <w:t>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22" w:name="_Toc452108761"/>
      <w:bookmarkStart w:id="23" w:name="_Toc6797"/>
      <w:r>
        <w:rPr>
          <w:rFonts w:hint="eastAsia"/>
        </w:rPr>
        <w:t>三</w:t>
      </w:r>
      <w:r>
        <w:t>维视图</w:t>
      </w:r>
      <w:bookmarkEnd w:id="22"/>
      <w:bookmarkEnd w:id="23"/>
    </w:p>
    <w:p>
      <w:pPr>
        <w:pStyle w:val="3"/>
      </w:pPr>
      <w:r>
        <w:drawing>
          <wp:inline distT="0" distB="0" distL="114300" distR="114300">
            <wp:extent cx="5273040" cy="2667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273040" cy="2667000"/>
                    </a:xfrm>
                    <a:prstGeom prst="rect">
                      <a:avLst/>
                    </a:prstGeom>
                    <a:noFill/>
                    <a:ln>
                      <a:noFill/>
                    </a:ln>
                  </pic:spPr>
                </pic:pic>
              </a:graphicData>
            </a:graphic>
          </wp:inline>
        </w:drawing>
      </w:r>
    </w:p>
    <w:p>
      <w:pPr>
        <w:pStyle w:val="3"/>
        <w:ind w:firstLine="0" w:firstLineChars="0"/>
        <w:jc w:val="center"/>
        <w:rPr>
          <w:lang w:val="en-US"/>
        </w:rPr>
      </w:pPr>
      <w:r>
        <w:rPr>
          <w:rFonts w:hint="eastAsia"/>
          <w:lang w:val="en-US"/>
        </w:rPr>
        <w:t xml:space="preserve"> </w:t>
      </w:r>
      <w:bookmarkStart w:id="24" w:name="三维视图"/>
      <w:bookmarkEnd w:id="24"/>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5" w:name="_Toc30354"/>
      <w:bookmarkStart w:id="26" w:name="_Toc452108762"/>
      <w:bookmarkStart w:id="27" w:name="TitleFormat"/>
      <w:r>
        <w:rPr>
          <w:rFonts w:hint="eastAsia"/>
        </w:rPr>
        <w:t>计算</w:t>
      </w:r>
      <w:r>
        <w:t>依据</w:t>
      </w:r>
      <w:bookmarkEnd w:id="25"/>
      <w:bookmarkEnd w:id="26"/>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8" w:name="参考标准名称1"/>
      <w:r>
        <w:rPr>
          <w:rFonts w:hint="eastAsia"/>
          <w:lang w:val="en-US"/>
        </w:rPr>
        <w:t>吉林《绿色建筑评价标准》DB22-T5045-2020</w:t>
      </w:r>
      <w:bookmarkEnd w:id="28"/>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9" w:name="_Toc11832"/>
      <w:bookmarkStart w:id="30" w:name="_Toc452108763"/>
      <w:r>
        <w:rPr>
          <w:rFonts w:hint="eastAsia"/>
        </w:rPr>
        <w:t>参考</w:t>
      </w:r>
      <w:r>
        <w:t>标准</w:t>
      </w:r>
      <w:bookmarkEnd w:id="29"/>
      <w:bookmarkEnd w:id="30"/>
    </w:p>
    <w:p>
      <w:pPr>
        <w:pStyle w:val="3"/>
        <w:ind w:firstLine="420"/>
        <w:rPr>
          <w:lang w:val="en-US"/>
        </w:rPr>
      </w:pPr>
      <w:r>
        <w:rPr>
          <w:rFonts w:hint="eastAsia"/>
          <w:lang w:val="en-US"/>
        </w:rPr>
        <w:t>室外风环境评价依据为</w:t>
      </w:r>
      <w:bookmarkStart w:id="31" w:name="参考标准名称2"/>
      <w:r>
        <w:rPr>
          <w:rFonts w:hint="eastAsia"/>
          <w:lang w:val="en-US"/>
        </w:rPr>
        <w:t>吉林《绿色建筑评价标准》DB22-T5045-2020</w:t>
      </w:r>
      <w:bookmarkEnd w:id="31"/>
      <w:r>
        <w:rPr>
          <w:rFonts w:hint="eastAsia"/>
          <w:lang w:val="en-US"/>
        </w:rPr>
        <w:t>中有关室外风环境的条目要求。具体要求如下：</w:t>
      </w:r>
    </w:p>
    <w:p>
      <w:pPr>
        <w:pStyle w:val="3"/>
        <w:ind w:firstLine="420"/>
        <w:rPr>
          <w:lang w:val="en-US"/>
        </w:rPr>
      </w:pPr>
      <w:bookmarkStart w:id="32" w:name="_Toc451436145"/>
      <w:bookmarkStart w:id="33" w:name="_Toc451698935"/>
      <w:bookmarkStart w:id="34" w:name="_Toc452108764"/>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5" w:name="参考标准冬季风速得分"/>
      <w:r>
        <w:rPr>
          <w:lang w:val="en-US"/>
        </w:rPr>
        <w:t>3</w:t>
      </w:r>
      <w:bookmarkEnd w:id="35"/>
      <w:r>
        <w:rPr>
          <w:rFonts w:hint="eastAsia"/>
          <w:lang w:val="en-US"/>
        </w:rPr>
        <w:t>分；除迎风第一排建筑外，建筑迎风面与背风面表面风压差不超过5Pa，得</w:t>
      </w:r>
      <w:bookmarkStart w:id="36" w:name="参考标准冬季风压得分"/>
      <w:r>
        <w:rPr>
          <w:lang w:val="en-US"/>
        </w:rPr>
        <w:t>2</w:t>
      </w:r>
      <w:bookmarkEnd w:id="36"/>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7" w:name="参考标准夏季风速得分"/>
      <w:r>
        <w:rPr>
          <w:lang w:val="en-US"/>
        </w:rPr>
        <w:t>3</w:t>
      </w:r>
      <w:bookmarkEnd w:id="37"/>
      <w:r>
        <w:rPr>
          <w:rFonts w:hint="eastAsia"/>
          <w:lang w:val="en-US"/>
        </w:rPr>
        <w:t>分；50%以上可开启外窗室内外表面的风压差大于0.5Pa，得</w:t>
      </w:r>
      <w:bookmarkStart w:id="38" w:name="参考标准夏季风压得分"/>
      <w:r>
        <w:rPr>
          <w:lang w:val="en-US"/>
        </w:rPr>
        <w:t>2</w:t>
      </w:r>
      <w:bookmarkEnd w:id="38"/>
      <w:r>
        <w:rPr>
          <w:rFonts w:hint="eastAsia"/>
          <w:lang w:val="en-US"/>
        </w:rPr>
        <w:t>分。</w:t>
      </w:r>
    </w:p>
    <w:p>
      <w:pPr>
        <w:pStyle w:val="2"/>
      </w:pPr>
      <w:bookmarkStart w:id="39" w:name="_Toc14360"/>
      <w:r>
        <w:rPr>
          <w:rFonts w:hint="eastAsia"/>
        </w:rPr>
        <w:t>计算原理</w:t>
      </w:r>
      <w:bookmarkEnd w:id="39"/>
    </w:p>
    <w:p>
      <w:pPr>
        <w:pStyle w:val="4"/>
        <w:numPr>
          <w:ilvl w:val="1"/>
          <w:numId w:val="3"/>
        </w:numPr>
      </w:pPr>
      <w:bookmarkStart w:id="40" w:name="_Toc3120"/>
      <w:bookmarkStart w:id="41" w:name="_Toc509844740"/>
      <w:bookmarkStart w:id="42" w:name="_Toc451698937"/>
      <w:bookmarkStart w:id="43" w:name="_Toc452108765"/>
      <w:r>
        <w:rPr>
          <w:rFonts w:hint="eastAsia"/>
        </w:rPr>
        <w:t>风场计算域</w:t>
      </w:r>
      <w:bookmarkEnd w:id="40"/>
      <w:bookmarkEnd w:id="41"/>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4" w:name="_Toc28213"/>
      <w:bookmarkStart w:id="45" w:name="季节1"/>
      <w:r>
        <w:rPr>
          <w:rFonts w:hint="eastAsia"/>
        </w:rPr>
        <w:t>冬季工况风场计算域</w:t>
      </w:r>
      <w:bookmarkEnd w:id="44"/>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6" w:name="季节2"/>
      <w:r>
        <w:rPr>
          <w:rFonts w:hint="eastAsia" w:ascii="黑体" w:hAnsi="黑体" w:eastAsia="黑体"/>
          <w:sz w:val="20"/>
          <w:szCs w:val="20"/>
        </w:rPr>
        <w:t>冬季</w:t>
      </w:r>
      <w:bookmarkEnd w:id="46"/>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7" w:name="冬季风场X尺寸"/>
            <w:r>
              <w:t>448</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8" w:name="冬季风场Y尺寸"/>
            <w:r>
              <w:t>385</w:t>
            </w:r>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9" w:name="冬季风场Z尺寸"/>
            <w:r>
              <w:t>119</w:t>
            </w:r>
            <w:bookmarkEnd w:id="49"/>
          </w:p>
        </w:tc>
      </w:tr>
    </w:tbl>
    <w:p>
      <w:pPr>
        <w:pStyle w:val="5"/>
        <w:numPr>
          <w:ilvl w:val="2"/>
          <w:numId w:val="3"/>
        </w:numPr>
      </w:pPr>
      <w:bookmarkStart w:id="50" w:name="冬季工况风场计算域图示"/>
      <w:bookmarkEnd w:id="50"/>
      <w:bookmarkStart w:id="51" w:name="_Toc21227"/>
      <w:r>
        <w:rPr>
          <w:rFonts w:hint="eastAsia"/>
        </w:rPr>
        <w:t>夏季工况风场计算域</w:t>
      </w:r>
      <w:bookmarkEnd w:id="5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119</w:t>
            </w:r>
          </w:p>
        </w:tc>
      </w:tr>
    </w:tbl>
    <w:p>
      <w:pPr>
        <w:pStyle w:val="3"/>
        <w:ind w:firstLine="315" w:firstLineChars="150"/>
        <w:rPr>
          <w:lang w:val="en-US"/>
        </w:rPr>
      </w:pPr>
      <w:bookmarkStart w:id="52" w:name="计算域"/>
      <w:bookmarkEnd w:id="52"/>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3" w:name="_Toc21348"/>
      <w:bookmarkStart w:id="54" w:name="_Toc509844741"/>
      <w:r>
        <w:rPr>
          <w:rFonts w:hint="eastAsia"/>
        </w:rPr>
        <w:t>网格划分</w:t>
      </w:r>
      <w:bookmarkEnd w:id="53"/>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5" w:name="OLE_LINK276"/>
      <w:bookmarkStart w:id="56" w:name="OLE_LINK277"/>
      <w:r>
        <w:rPr>
          <w:rFonts w:hint="eastAsia"/>
        </w:rPr>
        <w:t>1）普通网格：指除靠近地面和建筑以外的网格，通常不需要特别加密处理</w:t>
      </w:r>
    </w:p>
    <w:p>
      <w:pPr>
        <w:pStyle w:val="12"/>
        <w:numPr>
          <w:ilvl w:val="0"/>
          <w:numId w:val="4"/>
        </w:numPr>
        <w:spacing w:before="156"/>
      </w:pPr>
      <w:bookmarkStart w:id="57" w:name="OLE_LINK15"/>
      <w:r>
        <w:rPr>
          <w:rFonts w:hint="eastAsia"/>
        </w:rPr>
        <w:t>分弧精度：对于有圆弧特征的建筑局部，把圆弧分解为线段时，弦到弧的最大距离；</w:t>
      </w:r>
    </w:p>
    <w:bookmarkEnd w:id="57"/>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8"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5"/>
      <w:bookmarkEnd w:id="56"/>
    </w:p>
    <w:bookmarkEnd w:id="58"/>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9" w:name="冬季网格总数"/>
            <w:r>
              <w:t>440663</w:t>
            </w:r>
            <w:bookmarkEnd w:id="59"/>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分弧精度"/>
            <w:r>
              <w:t>0.24</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初始网格"/>
            <w:r>
              <w:t>8.0</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最小细分级数"/>
            <w:r>
              <w:t>1</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最大细分级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远场细分级数"/>
            <w:r>
              <w:t>1</w:t>
            </w:r>
            <w:bookmarkEnd w:id="64"/>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5" w:name="冬季近场细分级数"/>
            <w:r>
              <w:t>2</w:t>
            </w:r>
            <w:bookmarkEnd w:id="6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6" w:name="冬季地面附面层数"/>
            <w:r>
              <w:t>2</w:t>
            </w:r>
            <w:bookmarkEnd w:id="6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7" w:name="冬季建筑附面层数"/>
            <w:r>
              <w:t>0</w:t>
            </w:r>
            <w:bookmarkEnd w:id="67"/>
          </w:p>
        </w:tc>
      </w:tr>
    </w:tbl>
    <w:p>
      <w:pPr>
        <w:rPr>
          <w:szCs w:val="21"/>
          <w:lang w:val="en-US"/>
        </w:rPr>
      </w:pPr>
    </w:p>
    <w:p>
      <w:pPr>
        <w:pStyle w:val="13"/>
        <w:jc w:val="center"/>
      </w:pPr>
      <w:bookmarkStart w:id="68" w:name="网格图"/>
      <w:bookmarkEnd w:id="68"/>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457872</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bookmarkEnd w:id="11"/>
          </w:p>
        </w:tc>
      </w:tr>
    </w:tbl>
    <w:p>
      <w:pPr>
        <w:rPr>
          <w:szCs w:val="21"/>
          <w:lang w:val="en-US"/>
        </w:rPr>
      </w:pPr>
    </w:p>
    <w:p>
      <w:pPr>
        <w:pStyle w:val="3"/>
        <w:ind w:firstLine="630" w:firstLineChars="300"/>
        <w:rPr>
          <w:rFonts w:ascii="黑体" w:hAnsi="黑体" w:eastAsia="黑体"/>
          <w:szCs w:val="20"/>
          <w:lang w:val="en-US"/>
        </w:rPr>
      </w:pPr>
      <w:bookmarkStart w:id="69" w:name="网格划分信息"/>
      <w:bookmarkEnd w:id="69"/>
      <w:r>
        <w:rPr>
          <w:rFonts w:hint="eastAsia" w:ascii="黑体" w:hAnsi="黑体" w:eastAsia="黑体"/>
          <w:szCs w:val="20"/>
          <w:lang w:val="en-US"/>
        </w:rPr>
        <w:t>注：前述计算域随风向不同，所以相同的网格方案会产生不同的网格数量。</w:t>
      </w:r>
    </w:p>
    <w:bookmarkEnd w:id="54"/>
    <w:p>
      <w:pPr>
        <w:pStyle w:val="3"/>
        <w:ind w:firstLine="0" w:firstLineChars="0"/>
        <w:rPr>
          <w:rFonts w:ascii="黑体" w:hAnsi="黑体" w:eastAsia="黑体"/>
          <w:szCs w:val="20"/>
          <w:lang w:val="en-US"/>
        </w:rPr>
      </w:pPr>
    </w:p>
    <w:p>
      <w:pPr>
        <w:pStyle w:val="4"/>
        <w:numPr>
          <w:ilvl w:val="1"/>
          <w:numId w:val="3"/>
        </w:numPr>
      </w:pPr>
      <w:bookmarkStart w:id="70" w:name="_Toc509844742"/>
      <w:bookmarkStart w:id="71" w:name="_Toc6488"/>
      <w:r>
        <w:rPr>
          <w:rFonts w:hint="eastAsia"/>
        </w:rPr>
        <w:t>边界条件</w:t>
      </w:r>
      <w:bookmarkEnd w:id="70"/>
      <w:bookmarkEnd w:id="7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2" w:name="_Toc509844743"/>
      <w:bookmarkStart w:id="73" w:name="_Toc14289"/>
      <w:r>
        <w:rPr>
          <w:rFonts w:hint="eastAsia"/>
        </w:rPr>
        <w:t>入口与出口边界条件</w:t>
      </w:r>
      <w:bookmarkEnd w:id="72"/>
      <w:bookmarkEnd w:id="7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0.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6" o:title=""/>
            <o:lock v:ext="edit" aspectratio="t"/>
            <w10:wrap type="none"/>
            <w10:anchorlock/>
          </v:shape>
          <o:OLEObject Type="Embed" ProgID="Equation.3" ShapeID="_x0000_i1026" DrawAspect="Content" ObjectID="_1468075726" r:id="rId15">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5pt;" o:ole="t" filled="f" o:preferrelative="t" stroked="f" coordsize="21600,21600">
            <v:path/>
            <v:fill on="f" focussize="0,0"/>
            <v:stroke on="f" joinstyle="miter"/>
            <v:imagedata r:id="rId18" o:title=""/>
            <o:lock v:ext="edit" aspectratio="t"/>
            <w10:wrap type="none"/>
            <w10:anchorlock/>
          </v:shape>
          <o:OLEObject Type="Embed" ProgID="Equation.3" ShapeID="_x0000_i1027" DrawAspect="Content" ObjectID="_1468075727" r:id="rId17">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4" w:name="地面粗糙度指数2"/>
      <w:r>
        <w:rPr>
          <w:rFonts w:hint="eastAsia"/>
          <w:lang w:val="en-US"/>
        </w:rPr>
        <w:t>0.28</w:t>
      </w:r>
      <w:bookmarkEnd w:id="7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5" w:name="_Toc30746"/>
      <w:bookmarkStart w:id="76" w:name="_Toc509844744"/>
      <w:r>
        <w:rPr>
          <w:rFonts w:hint="eastAsia"/>
        </w:rPr>
        <w:t>壁面边界条件</w:t>
      </w:r>
      <w:bookmarkEnd w:id="75"/>
      <w:bookmarkEnd w:id="7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7" w:name="_Toc24078"/>
      <w:r>
        <w:rPr>
          <w:rFonts w:hint="eastAsia"/>
        </w:rPr>
        <w:t>湍流模型</w:t>
      </w:r>
      <w:bookmarkEnd w:id="42"/>
      <w:bookmarkEnd w:id="43"/>
      <w:bookmarkEnd w:id="7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8" w:name="_Toc2550"/>
      <w:bookmarkStart w:id="79" w:name="_Toc452108767"/>
      <w:bookmarkStart w:id="80" w:name="_Toc451698939"/>
      <w:r>
        <w:rPr>
          <w:rFonts w:hint="eastAsia"/>
        </w:rPr>
        <w:t>求解计算</w:t>
      </w:r>
      <w:bookmarkEnd w:id="78"/>
      <w:bookmarkEnd w:id="79"/>
      <w:bookmarkEnd w:id="8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8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81"/>
      <w:r>
        <w:rPr>
          <w:rFonts w:hint="eastAsia" w:ascii="黑体" w:hAnsi="黑体" w:eastAsia="黑体"/>
          <w:sz w:val="20"/>
          <w:szCs w:val="20"/>
        </w:rPr>
        <w:t xml:space="preserve"> </w:t>
      </w:r>
      <w:bookmarkStart w:id="82" w:name="_Ref225175618"/>
      <w:r>
        <w:rPr>
          <w:rFonts w:hint="eastAsia" w:ascii="黑体" w:hAnsi="黑体" w:eastAsia="黑体"/>
          <w:sz w:val="20"/>
          <w:szCs w:val="20"/>
        </w:rPr>
        <w:t>计算流体力学的控制方程</w:t>
      </w:r>
      <w:bookmarkEnd w:id="8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2"/>
    </w:p>
    <w:p>
      <w:pPr>
        <w:pStyle w:val="4"/>
      </w:pPr>
      <w:bookmarkStart w:id="83" w:name="_Toc13924"/>
      <w:bookmarkStart w:id="84" w:name="_Toc509844747"/>
      <w:r>
        <w:rPr>
          <w:rFonts w:hint="eastAsia"/>
        </w:rPr>
        <w:t>风速放大系数计算</w:t>
      </w:r>
      <w:bookmarkEnd w:id="83"/>
      <w:bookmarkEnd w:id="8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3.5pt;width:13.5pt;" o:ole="t" filled="f" o:preferrelative="t" stroked="f" coordsize="21600,21600">
            <v:path/>
            <v:fill on="f" focussize="0,0"/>
            <v:stroke on="f" joinstyle="miter"/>
            <v:imagedata r:id="rId60" o:title=""/>
            <o:lock v:ext="edit" aspectratio="t"/>
            <w10:wrap type="none"/>
            <w10:anchorlock/>
          </v:shape>
          <o:OLEObject Type="Embed" ProgID="Equation.3" ShapeID="_x0000_i1028" DrawAspect="Content" ObjectID="_1468075728" r:id="rId59">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7.25pt;width:24.75pt;" o:ole="t" filled="f" o:preferrelative="t" stroked="f" coordsize="21600,21600">
            <v:path/>
            <v:fill on="f" focussize="0,0"/>
            <v:stroke on="f" joinstyle="miter"/>
            <v:imagedata r:id="rId62" o:title=""/>
            <o:lock v:ext="edit" aspectratio="t"/>
            <w10:wrap type="none"/>
            <w10:anchorlock/>
          </v:shape>
          <o:OLEObject Type="Embed" ProgID="Equation.3" ShapeID="_x0000_i1029" DrawAspect="Content" ObjectID="_1468075729" r:id="rId61">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1pt;width:24.75pt;" o:ole="t" filled="f" o:preferrelative="t" stroked="f" coordsize="21600,21600">
            <v:path/>
            <v:fill on="f" focussize="0,0"/>
            <v:stroke on="f" joinstyle="miter"/>
            <v:imagedata r:id="rId64" o:title=""/>
            <o:lock v:ext="edit" aspectratio="t"/>
            <w10:wrap type="none"/>
            <w10:anchorlock/>
          </v:shape>
          <o:OLEObject Type="Embed" ProgID="Equation.3" ShapeID="_x0000_i1030" DrawAspect="Content" ObjectID="_1468075730" r:id="rId63">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1pt;width:21pt;" o:ole="t" filled="f" o:preferrelative="t" stroked="f" coordsize="21600,21600">
            <v:path/>
            <v:fill on="f" focussize="0,0"/>
            <v:stroke on="f" joinstyle="miter"/>
            <v:imagedata r:id="rId66" o:title=""/>
            <o:lock v:ext="edit" aspectratio="t"/>
            <w10:wrap type="none"/>
            <w10:anchorlock/>
          </v:shape>
          <o:OLEObject Type="Embed" ProgID="Equation.3" ShapeID="_x0000_i1031" DrawAspect="Content" ObjectID="_1468075731" r:id="rId65">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5" w:name="地面粗糙度指数"/>
      <w:r>
        <w:rPr>
          <w:rFonts w:hint="eastAsia"/>
          <w:lang w:val="en-US"/>
        </w:rPr>
        <w:t>0.28</w:t>
      </w:r>
      <w:bookmarkEnd w:id="8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6" w:name="_Toc452108768"/>
      <w:bookmarkStart w:id="87" w:name="_Toc13737"/>
      <w:r>
        <w:rPr>
          <w:rFonts w:hint="eastAsia"/>
        </w:rPr>
        <w:t>结果</w:t>
      </w:r>
      <w:r>
        <w:t>分析</w:t>
      </w:r>
      <w:bookmarkEnd w:id="86"/>
      <w:bookmarkEnd w:id="87"/>
    </w:p>
    <w:p>
      <w:pPr>
        <w:pStyle w:val="4"/>
        <w:rPr>
          <w:szCs w:val="21"/>
        </w:rPr>
      </w:pPr>
      <w:bookmarkStart w:id="88" w:name="_Toc20831"/>
      <w:r>
        <w:rPr>
          <w:rFonts w:hint="eastAsia"/>
          <w:szCs w:val="21"/>
        </w:rPr>
        <w:t>工况</w:t>
      </w:r>
      <w:r>
        <w:rPr>
          <w:szCs w:val="21"/>
        </w:rPr>
        <w:t>表</w:t>
      </w:r>
      <w:bookmarkEnd w:id="8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W</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180.0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4.60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202.5</w:t>
            </w:r>
          </w:p>
        </w:tc>
      </w:tr>
      <w:bookmarkEnd w:id="8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7"/>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90" w:name="_Toc509844750"/>
      <w:bookmarkStart w:id="91" w:name="_Toc11200"/>
      <w:r>
        <w:rPr>
          <w:rFonts w:hint="eastAsia"/>
        </w:rPr>
        <w:t>冬季工况</w:t>
      </w:r>
      <w:bookmarkEnd w:id="90"/>
      <w:bookmarkEnd w:id="91"/>
    </w:p>
    <w:p>
      <w:pPr>
        <w:ind w:firstLine="420" w:firstLineChars="200"/>
        <w:jc w:val="both"/>
      </w:pPr>
      <w:r>
        <w:rPr>
          <w:rFonts w:hint="eastAsia"/>
          <w:lang w:val="en-US"/>
        </w:rPr>
        <w:t>本项目冬季工况的入口边界风速为</w:t>
      </w:r>
      <w:bookmarkStart w:id="92" w:name="冬季入口边界风速"/>
      <w:r>
        <w:rPr>
          <w:rFonts w:hint="eastAsia" w:ascii="Calibri" w:hAnsi="Calibri"/>
          <w:szCs w:val="21"/>
        </w:rPr>
        <w:t>4.70</w:t>
      </w:r>
      <w:bookmarkEnd w:id="92"/>
      <w:r>
        <w:rPr>
          <w:rFonts w:ascii="Calibri" w:hAnsi="Calibri"/>
          <w:szCs w:val="21"/>
        </w:rPr>
        <w:t>m/s</w:t>
      </w:r>
      <w:r>
        <w:rPr>
          <w:rFonts w:hint="eastAsia" w:ascii="Calibri" w:hAnsi="Calibri"/>
          <w:szCs w:val="21"/>
        </w:rPr>
        <w:t>，风向为</w:t>
      </w:r>
      <w:bookmarkStart w:id="93" w:name="冬季入口边界风向"/>
      <w:r>
        <w:rPr>
          <w:szCs w:val="21"/>
        </w:rPr>
        <w:t>W</w:t>
      </w:r>
      <w:bookmarkEnd w:id="93"/>
      <w:r>
        <w:rPr>
          <w:rFonts w:hint="eastAsia"/>
          <w:szCs w:val="21"/>
        </w:rPr>
        <w:t>。</w:t>
      </w:r>
    </w:p>
    <w:p>
      <w:pPr>
        <w:pStyle w:val="5"/>
      </w:pPr>
      <w:bookmarkStart w:id="94" w:name="_Toc509844751"/>
      <w:bookmarkStart w:id="95" w:name="_Toc7875"/>
      <w:r>
        <w:rPr>
          <w:rFonts w:hint="eastAsia"/>
        </w:rPr>
        <w:t>人行区域风速达标分析</w:t>
      </w:r>
      <w:bookmarkEnd w:id="94"/>
      <w:bookmarkEnd w:id="95"/>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96" w:name="冬季工况人行区风速分析结论"/>
      <w:bookmarkEnd w:id="96"/>
      <w:r>
        <w:rPr>
          <w:lang w:val="en-US"/>
        </w:rPr>
        <w:t>未标示出超标区域，可知人行区域风速小于5m/s，</w:t>
      </w:r>
      <w:r>
        <w:rPr>
          <w:color w:val="0000FF"/>
          <w:lang w:val="en-US"/>
        </w:rPr>
        <w:t>满足</w:t>
      </w:r>
      <w:r>
        <w:rPr>
          <w:lang w:val="en-US"/>
        </w:rPr>
        <w:t>绿标要求。</w:t>
      </w:r>
    </w:p>
    <w:p>
      <w:pPr>
        <w:pStyle w:val="3"/>
        <w:ind w:firstLine="420"/>
        <w:rPr>
          <w:lang w:val="en-US"/>
        </w:rPr>
      </w:pPr>
      <w:bookmarkStart w:id="97" w:name="冬季工况人行区风速云图"/>
      <w:bookmarkEnd w:id="97"/>
    </w:p>
    <w:p>
      <w:pPr>
        <w:pStyle w:val="5"/>
      </w:pPr>
      <w:bookmarkStart w:id="98" w:name="_Toc24373"/>
      <w:bookmarkStart w:id="99" w:name="_Toc509844752"/>
      <w:r>
        <w:rPr>
          <w:rFonts w:hint="eastAsia"/>
        </w:rPr>
        <w:t>人行区域风速放大系数达标分析</w:t>
      </w:r>
      <w:bookmarkEnd w:id="98"/>
      <w:bookmarkEnd w:id="99"/>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100" w:name="冬季工况人行区风速放大系数分析结论"/>
      <w:bookmarkEnd w:id="100"/>
      <w:r>
        <w:rPr>
          <w:lang w:val="en-US"/>
        </w:rPr>
        <w:t>图中未标示出风速放大系数超标区域，因此可知人行区域风速放大系数小于2，</w:t>
      </w:r>
      <w:r>
        <w:rPr>
          <w:color w:val="0000FF"/>
          <w:lang w:val="en-US"/>
        </w:rPr>
        <w:t>满足</w:t>
      </w:r>
      <w:r>
        <w:rPr>
          <w:lang w:val="en-US"/>
        </w:rPr>
        <w:t>绿标要求。</w:t>
      </w:r>
    </w:p>
    <w:p>
      <w:pPr>
        <w:pStyle w:val="3"/>
        <w:ind w:firstLine="420"/>
        <w:rPr>
          <w:lang w:val="en-US"/>
        </w:rPr>
      </w:pPr>
      <w:bookmarkStart w:id="101" w:name="冬季工况人行区风速放大系数云图"/>
      <w:bookmarkEnd w:id="101"/>
    </w:p>
    <w:p>
      <w:pPr>
        <w:pStyle w:val="5"/>
      </w:pPr>
      <w:bookmarkStart w:id="102" w:name="_Toc12703"/>
      <w:r>
        <w:rPr>
          <w:rFonts w:hint="eastAsia"/>
        </w:rPr>
        <w:t>户外休息区、儿童娱乐区</w:t>
      </w:r>
      <w:r>
        <w:t>域风速达标分析</w:t>
      </w:r>
      <w:bookmarkEnd w:id="102"/>
    </w:p>
    <w:p>
      <w:pPr>
        <w:pStyle w:val="3"/>
        <w:ind w:firstLine="420"/>
        <w:rPr>
          <w:lang w:val="en-US"/>
        </w:rPr>
      </w:pPr>
      <w:bookmarkStart w:id="103" w:name="冬季工况户外休息区和儿童娱乐区风速达标分析"/>
      <w:r>
        <w:rPr>
          <w:rFonts w:hint="eastAsia"/>
          <w:lang w:val="en-US"/>
        </w:rPr>
        <w:t>（本项目未划分户外休息区、儿童娱乐区）</w:t>
      </w:r>
    </w:p>
    <w:bookmarkEnd w:id="103"/>
    <w:p>
      <w:pPr>
        <w:pStyle w:val="5"/>
      </w:pPr>
      <w:bookmarkStart w:id="104" w:name="_Toc7822"/>
      <w:r>
        <w:rPr>
          <w:rFonts w:hint="eastAsia"/>
        </w:rPr>
        <w:t>户外休息区、儿童娱乐区风速放大系数达标</w:t>
      </w:r>
      <w:r>
        <w:t>分析</w:t>
      </w:r>
      <w:bookmarkEnd w:id="104"/>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5" w:name="_Toc509844753"/>
      <w:bookmarkStart w:id="106" w:name="_Toc3307"/>
      <w:r>
        <w:rPr>
          <w:rFonts w:hint="eastAsia"/>
        </w:rPr>
        <w:t>冬季工况风速/风速放大系数达标</w:t>
      </w:r>
      <w:bookmarkEnd w:id="105"/>
      <w:r>
        <w:rPr>
          <w:rFonts w:hint="eastAsia"/>
        </w:rPr>
        <w:t>结果汇总</w:t>
      </w:r>
      <w:bookmarkEnd w:id="106"/>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冬季工况风速/风速放大系数达标分析汇总</w:t>
      </w:r>
    </w:p>
    <w:tbl>
      <w:tblPr>
        <w:tblStyle w:val="21"/>
        <w:tblW w:w="9286" w:type="dxa"/>
        <w:jc w:val="center"/>
        <w:tblLayout w:type="autofit"/>
        <w:tblCellMar>
          <w:top w:w="0" w:type="dxa"/>
          <w:left w:w="108" w:type="dxa"/>
          <w:bottom w:w="0" w:type="dxa"/>
          <w:right w:w="108" w:type="dxa"/>
        </w:tblCellMar>
      </w:tblPr>
      <w:tblGrid>
        <w:gridCol w:w="3514"/>
        <w:gridCol w:w="1453"/>
        <w:gridCol w:w="1453"/>
        <w:gridCol w:w="1694"/>
        <w:gridCol w:w="1172"/>
      </w:tblGrid>
      <w:tr>
        <w:tblPrEx>
          <w:tblCellMar>
            <w:top w:w="0" w:type="dxa"/>
            <w:left w:w="108" w:type="dxa"/>
            <w:bottom w:w="0" w:type="dxa"/>
            <w:right w:w="108" w:type="dxa"/>
          </w:tblCellMar>
        </w:tblPrEx>
        <w:trPr>
          <w:trHeight w:val="270" w:hRule="atLeast"/>
          <w:jc w:val="center"/>
        </w:trPr>
        <w:tc>
          <w:tcPr>
            <w:tcW w:w="351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45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hint="eastAsia" w:ascii="黑体" w:hAnsi="黑体" w:eastAsia="黑体" w:cs="宋体"/>
                <w:b/>
                <w:color w:val="000000"/>
                <w:sz w:val="22"/>
                <w:szCs w:val="22"/>
                <w:lang w:val="en-US"/>
              </w:rPr>
            </w:pPr>
          </w:p>
        </w:tc>
        <w:tc>
          <w:tcPr>
            <w:tcW w:w="145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17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51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453" w:type="dxa"/>
            <w:tcBorders>
              <w:top w:val="nil"/>
              <w:left w:val="nil"/>
              <w:bottom w:val="single" w:color="auto" w:sz="4" w:space="0"/>
              <w:right w:val="single" w:color="auto" w:sz="4" w:space="0"/>
            </w:tcBorders>
            <w:shd w:val="clear" w:color="auto" w:fill="auto"/>
            <w:noWrap/>
            <w:vAlign w:val="center"/>
          </w:tcPr>
          <w:p>
            <w:pPr>
              <w:ind w:firstLine="420" w:firstLineChars="200"/>
              <w:rPr>
                <w:rFonts w:hint="eastAsia" w:ascii="宋体" w:hAnsi="宋体" w:cs="宋体"/>
                <w:szCs w:val="21"/>
              </w:rPr>
            </w:pPr>
          </w:p>
        </w:tc>
        <w:tc>
          <w:tcPr>
            <w:tcW w:w="1453"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694"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7" w:name="冬季工况风速是否有超限区域"/>
            <w:r>
              <w:rPr>
                <w:rFonts w:hint="eastAsia" w:ascii="宋体" w:hAnsi="宋体" w:cs="宋体"/>
                <w:color w:val="000000"/>
                <w:sz w:val="22"/>
                <w:szCs w:val="22"/>
                <w:lang w:val="en-US"/>
              </w:rPr>
              <w:t>否</w:t>
            </w:r>
            <w:bookmarkEnd w:id="107"/>
          </w:p>
        </w:tc>
        <w:tc>
          <w:tcPr>
            <w:tcW w:w="1172"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8" w:name="冬季工况风速达标判断"/>
            <w:r>
              <w:rPr>
                <w:rFonts w:hint="eastAsia" w:ascii="宋体" w:hAnsi="宋体" w:cs="宋体"/>
                <w:color w:val="000000"/>
                <w:sz w:val="22"/>
                <w:szCs w:val="22"/>
                <w:lang w:val="en-US"/>
              </w:rPr>
              <w:t>是</w:t>
            </w:r>
            <w:bookmarkEnd w:id="108"/>
          </w:p>
        </w:tc>
      </w:tr>
      <w:tr>
        <w:tblPrEx>
          <w:tblCellMar>
            <w:top w:w="0" w:type="dxa"/>
            <w:left w:w="108" w:type="dxa"/>
            <w:bottom w:w="0" w:type="dxa"/>
            <w:right w:w="108" w:type="dxa"/>
          </w:tblCellMar>
        </w:tblPrEx>
        <w:trPr>
          <w:trHeight w:val="270" w:hRule="atLeast"/>
          <w:jc w:val="center"/>
        </w:trPr>
        <w:tc>
          <w:tcPr>
            <w:tcW w:w="351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hint="eastAsia" w:ascii="宋体" w:hAnsi="宋体" w:cs="宋体"/>
                <w:szCs w:val="21"/>
              </w:rPr>
            </w:pP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风速放大系数是否有超限区域"/>
            <w:r>
              <w:rPr>
                <w:rFonts w:hint="eastAsia" w:ascii="宋体" w:hAnsi="宋体" w:cs="宋体"/>
                <w:color w:val="000000"/>
                <w:sz w:val="22"/>
                <w:szCs w:val="22"/>
                <w:lang w:val="en-US"/>
              </w:rPr>
              <w:t>否</w:t>
            </w:r>
            <w:bookmarkEnd w:id="109"/>
          </w:p>
        </w:tc>
        <w:tc>
          <w:tcPr>
            <w:tcW w:w="117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风速放大系数达标判断"/>
            <w:r>
              <w:rPr>
                <w:rFonts w:hint="eastAsia" w:ascii="宋体" w:hAnsi="宋体" w:cs="宋体"/>
                <w:color w:val="000000"/>
                <w:sz w:val="22"/>
                <w:szCs w:val="22"/>
                <w:lang w:val="en-US"/>
              </w:rPr>
              <w:t>是</w:t>
            </w:r>
            <w:bookmarkEnd w:id="110"/>
          </w:p>
        </w:tc>
      </w:tr>
      <w:tr>
        <w:tblPrEx>
          <w:tblCellMar>
            <w:top w:w="0" w:type="dxa"/>
            <w:left w:w="108" w:type="dxa"/>
            <w:bottom w:w="0" w:type="dxa"/>
            <w:right w:w="108" w:type="dxa"/>
          </w:tblCellMar>
        </w:tblPrEx>
        <w:trPr>
          <w:trHeight w:val="270" w:hRule="atLeast"/>
          <w:jc w:val="center"/>
        </w:trPr>
        <w:tc>
          <w:tcPr>
            <w:tcW w:w="3514"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hint="eastAsia" w:ascii="宋体" w:hAnsi="宋体" w:cs="宋体"/>
                <w:szCs w:val="21"/>
              </w:rPr>
            </w:pP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1" w:name="冬季工况休息区风速是否有超限区域"/>
            <w:r>
              <w:rPr>
                <w:rFonts w:hint="eastAsia" w:ascii="宋体" w:hAnsi="宋体" w:cs="宋体"/>
                <w:color w:val="000000"/>
                <w:sz w:val="22"/>
                <w:szCs w:val="22"/>
                <w:lang w:val="en-US"/>
              </w:rPr>
              <w:t>否</w:t>
            </w:r>
            <w:bookmarkEnd w:id="111"/>
          </w:p>
        </w:tc>
        <w:tc>
          <w:tcPr>
            <w:tcW w:w="117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2" w:name="冬季工况休息区风速达标判断"/>
            <w:r>
              <w:rPr>
                <w:rFonts w:hint="eastAsia" w:ascii="宋体" w:hAnsi="宋体" w:cs="宋体"/>
                <w:color w:val="000000"/>
                <w:sz w:val="22"/>
                <w:szCs w:val="22"/>
                <w:lang w:val="en-US"/>
              </w:rPr>
              <w:t>是</w:t>
            </w:r>
            <w:bookmarkEnd w:id="112"/>
          </w:p>
        </w:tc>
      </w:tr>
      <w:tr>
        <w:tblPrEx>
          <w:tblCellMar>
            <w:top w:w="0" w:type="dxa"/>
            <w:left w:w="108" w:type="dxa"/>
            <w:bottom w:w="0" w:type="dxa"/>
            <w:right w:w="108" w:type="dxa"/>
          </w:tblCellMar>
        </w:tblPrEx>
        <w:trPr>
          <w:trHeight w:val="270" w:hRule="atLeast"/>
          <w:jc w:val="center"/>
        </w:trPr>
        <w:tc>
          <w:tcPr>
            <w:tcW w:w="3514"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hint="eastAsia" w:ascii="宋体" w:hAnsi="宋体" w:cs="宋体"/>
                <w:szCs w:val="21"/>
              </w:rPr>
            </w:pPr>
          </w:p>
        </w:tc>
        <w:tc>
          <w:tcPr>
            <w:tcW w:w="1453"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13" w:name="冬季工况休息区和儿童娱乐区风速放大系数标准要求限值"/>
            <w:r>
              <w:rPr>
                <w:rFonts w:ascii="宋体" w:hAnsi="宋体" w:cs="宋体"/>
                <w:szCs w:val="21"/>
              </w:rPr>
              <w:t>2</w:t>
            </w:r>
            <w:bookmarkEnd w:id="113"/>
            <w:r>
              <w:rPr>
                <w:rFonts w:hint="eastAsia" w:ascii="宋体" w:hAnsi="宋体" w:cs="宋体"/>
                <w:szCs w:val="21"/>
              </w:rPr>
              <w:t xml:space="preserve"> </w:t>
            </w:r>
          </w:p>
        </w:tc>
        <w:tc>
          <w:tcPr>
            <w:tcW w:w="1694"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4" w:name="冬季工况户外休息区风速放大系数是否有超限区域"/>
            <w:r>
              <w:rPr>
                <w:rFonts w:hint="eastAsia" w:ascii="宋体" w:hAnsi="宋体" w:cs="宋体"/>
                <w:color w:val="000000"/>
                <w:sz w:val="22"/>
                <w:szCs w:val="22"/>
                <w:lang w:val="en-US"/>
              </w:rPr>
              <w:t>否</w:t>
            </w:r>
            <w:bookmarkEnd w:id="114"/>
          </w:p>
        </w:tc>
        <w:tc>
          <w:tcPr>
            <w:tcW w:w="1172"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5" w:name="冬季工况户外休息区风速放大系数达标判断"/>
            <w:r>
              <w:rPr>
                <w:rFonts w:hint="eastAsia" w:ascii="宋体" w:hAnsi="宋体" w:cs="宋体"/>
                <w:color w:val="000000"/>
                <w:sz w:val="22"/>
                <w:szCs w:val="22"/>
                <w:lang w:val="en-US"/>
              </w:rPr>
              <w:t>是</w:t>
            </w:r>
            <w:bookmarkEnd w:id="115"/>
          </w:p>
        </w:tc>
      </w:tr>
    </w:tbl>
    <w:p/>
    <w:p>
      <w:pPr>
        <w:pStyle w:val="5"/>
      </w:pPr>
      <w:bookmarkStart w:id="116" w:name="_Toc15686"/>
      <w:r>
        <w:rPr>
          <w:rFonts w:hint="eastAsia"/>
        </w:rPr>
        <w:t>建筑迎风面和背风面风压分析</w:t>
      </w:r>
      <w:bookmarkEnd w:id="20"/>
      <w:bookmarkEnd w:id="116"/>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420"/>
        <w:rPr>
          <w:lang w:val="en-US"/>
        </w:rPr>
      </w:pPr>
      <w:r>
        <w:rPr>
          <w:rFonts w:hint="eastAsia"/>
          <w:lang w:val="en-US"/>
        </w:rPr>
        <w:t>以建筑第二层为例，迎风面窗户C1，C2，C3的平均风压值，通过每个窗户的平均风压和其窗户面积进行加权平均计算，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7" w:name="冬季工况建筑迎风面风压云图"/>
      <w:bookmarkEnd w:id="117"/>
      <w:r>
        <w:drawing>
          <wp:inline distT="0" distB="0" distL="0" distR="0">
            <wp:extent cx="5667375" cy="31051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8"/>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8" w:name="冬季工况建筑背风面风压云图"/>
      <w:bookmarkEnd w:id="118"/>
      <w:r>
        <w:drawing>
          <wp:inline distT="0" distB="0" distL="0" distR="0">
            <wp:extent cx="5667375" cy="3143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9"/>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9" w:name="建筑迎风面和背风面风压差计算结果"/>
      <w:r>
        <w:rPr>
          <w:rFonts w:hint="eastAsia"/>
        </w:rPr>
        <w:t>建筑迎风面和背风面风压差计算结果</w:t>
      </w:r>
    </w:p>
    <w:p>
      <w:pPr>
        <w:jc w:val="center"/>
        <w:rPr>
          <w:rFonts w:ascii="Cambria" w:hAnsi="Cambria" w:eastAsia="黑体"/>
          <w:sz w:val="20"/>
        </w:rPr>
      </w:pPr>
      <w:bookmarkStart w:id="120"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21" w:name="建筑迎背风面风压差表_建筑名"/>
      <w:r>
        <w:rPr>
          <w:rFonts w:ascii="Cambria" w:hAnsi="Cambria" w:eastAsia="黑体"/>
          <w:sz w:val="20"/>
        </w:rPr>
        <w:t>&lt;未命名&gt;</w:t>
      </w:r>
      <w:bookmarkEnd w:id="121"/>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0.66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4.64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0.95</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-2.66</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3.61</w:t>
            </w:r>
          </w:p>
        </w:tc>
      </w:tr>
      <w:bookmarkEnd w:id="120"/>
    </w:tbl>
    <w:p>
      <w:bookmarkStart w:id="122" w:name="结论"/>
      <w:bookmarkEnd w:id="122"/>
      <w:r>
        <w:t>标准要求：迎背风面窗平均风压差（绝对值）≤5Pa。结论：该楼</w:t>
      </w:r>
      <w:r>
        <w:rPr>
          <w:b/>
          <w:color w:val="0000FF"/>
        </w:rPr>
        <w:t>达标</w:t>
      </w:r>
      <w:r>
        <w:t>。</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-2.70</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0.97</w:t>
            </w:r>
          </w:p>
        </w:tc>
      </w:tr>
    </w:tbl>
    <w:p>
      <w:r>
        <w:t>标准要求：迎背风面窗平均风压差（绝对值）≤5Pa。结论：该楼</w:t>
      </w:r>
      <w:r>
        <w:rPr>
          <w:b/>
          <w:color w:val="0000FF"/>
        </w:rPr>
        <w:t>达标</w:t>
      </w:r>
      <w:r>
        <w:t>。</w:t>
      </w:r>
    </w:p>
    <w:bookmarkEnd w:id="119"/>
    <w:p>
      <w:pPr>
        <w:jc w:val="center"/>
        <w:rPr>
          <w:rFonts w:ascii="Cambria" w:hAnsi="Cambria" w:eastAsia="黑体"/>
          <w:sz w:val="20"/>
        </w:rPr>
      </w:pPr>
      <w:bookmarkStart w:id="123" w:name="建筑迎背风面风压差表_新增"/>
      <w:bookmarkEnd w:id="123"/>
    </w:p>
    <w:bookmarkEnd w:id="27"/>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4"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0.95</w:t>
            </w:r>
          </w:p>
        </w:tc>
        <w:tc>
          <w:tcPr>
            <w:tcW w:w="1276" w:type="dxa"/>
            <w:shd w:val="clear" w:color="auto" w:fill="auto"/>
            <w:vAlign w:val="center"/>
          </w:tcPr>
          <w:p>
            <w:pPr>
              <w:jc w:val="center"/>
              <w:rPr>
                <w:lang w:val="en-US"/>
              </w:rPr>
            </w:pPr>
            <w:r>
              <w:rPr>
                <w:lang w:val="en-US"/>
              </w:rPr>
              <w:t>-2.66</w:t>
            </w:r>
          </w:p>
        </w:tc>
        <w:tc>
          <w:tcPr>
            <w:tcW w:w="1701" w:type="dxa"/>
            <w:shd w:val="clear" w:color="auto" w:fill="auto"/>
            <w:vAlign w:val="center"/>
          </w:tcPr>
          <w:p>
            <w:pPr>
              <w:jc w:val="center"/>
              <w:rPr>
                <w:lang w:val="en-US"/>
              </w:rPr>
            </w:pPr>
            <w:r>
              <w:rPr>
                <w:lang w:val="en-US"/>
              </w:rPr>
              <w:t>3.61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w:t>
            </w:r>
          </w:p>
        </w:tc>
        <w:tc>
          <w:tcPr>
            <w:tcW w:w="1276" w:type="dxa"/>
            <w:shd w:val="clear" w:color="auto" w:fill="auto"/>
            <w:vAlign w:val="center"/>
          </w:tcPr>
          <w:p>
            <w:pPr>
              <w:jc w:val="center"/>
              <w:rPr>
                <w:lang w:val="en-US"/>
              </w:rPr>
            </w:pPr>
            <w:r>
              <w:rPr>
                <w:lang w:val="en-US"/>
              </w:rPr>
              <w:t>-1.73</w:t>
            </w:r>
          </w:p>
        </w:tc>
        <w:tc>
          <w:tcPr>
            <w:tcW w:w="1276" w:type="dxa"/>
            <w:shd w:val="clear" w:color="auto" w:fill="auto"/>
            <w:vAlign w:val="center"/>
          </w:tcPr>
          <w:p>
            <w:pPr>
              <w:jc w:val="center"/>
              <w:rPr>
                <w:lang w:val="en-US"/>
              </w:rPr>
            </w:pPr>
            <w:r>
              <w:rPr>
                <w:lang w:val="en-US"/>
              </w:rPr>
              <w:t>-2.70</w:t>
            </w:r>
          </w:p>
        </w:tc>
        <w:tc>
          <w:tcPr>
            <w:tcW w:w="1701" w:type="dxa"/>
            <w:shd w:val="clear" w:color="auto" w:fill="auto"/>
            <w:vAlign w:val="center"/>
          </w:tcPr>
          <w:p>
            <w:pPr>
              <w:jc w:val="center"/>
              <w:rPr>
                <w:lang w:val="en-US"/>
              </w:rPr>
            </w:pPr>
            <w:r>
              <w:rPr>
                <w:lang w:val="en-US"/>
              </w:rPr>
              <w:t>0.97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未命名(1E9E)</w:t>
            </w:r>
          </w:p>
        </w:tc>
        <w:tc>
          <w:tcPr>
            <w:tcW w:w="1276" w:type="dxa"/>
            <w:shd w:val="clear" w:color="auto" w:fill="auto"/>
            <w:vAlign w:val="center"/>
          </w:tcPr>
          <w:p>
            <w:pPr>
              <w:jc w:val="center"/>
              <w:rPr>
                <w:lang w:val="en-US"/>
              </w:rPr>
            </w:pPr>
            <w:r>
              <w:rPr>
                <w:lang w:val="en-US"/>
              </w:rPr>
              <w:t>-1.60</w:t>
            </w:r>
          </w:p>
        </w:tc>
        <w:tc>
          <w:tcPr>
            <w:tcW w:w="1276" w:type="dxa"/>
            <w:shd w:val="clear" w:color="auto" w:fill="auto"/>
            <w:vAlign w:val="center"/>
          </w:tcPr>
          <w:p>
            <w:pPr>
              <w:jc w:val="center"/>
              <w:rPr>
                <w:lang w:val="en-US"/>
              </w:rPr>
            </w:pPr>
            <w:r>
              <w:rPr>
                <w:lang w:val="en-US"/>
              </w:rPr>
              <w:t>-8.67</w:t>
            </w:r>
          </w:p>
        </w:tc>
        <w:tc>
          <w:tcPr>
            <w:tcW w:w="1701" w:type="dxa"/>
            <w:shd w:val="clear" w:color="auto" w:fill="auto"/>
            <w:vAlign w:val="center"/>
          </w:tcPr>
          <w:p>
            <w:pPr>
              <w:jc w:val="center"/>
              <w:rPr>
                <w:lang w:val="en-US"/>
              </w:rPr>
            </w:pPr>
            <w:r>
              <w:rPr>
                <w:color w:val="FF0000"/>
                <w:lang w:val="en-US"/>
              </w:rPr>
              <w:t>7.07</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未命名(1EA1)</w:t>
            </w:r>
          </w:p>
        </w:tc>
        <w:tc>
          <w:tcPr>
            <w:tcW w:w="1276" w:type="dxa"/>
            <w:shd w:val="clear" w:color="auto" w:fill="auto"/>
            <w:vAlign w:val="center"/>
          </w:tcPr>
          <w:p>
            <w:pPr>
              <w:jc w:val="center"/>
              <w:rPr>
                <w:lang w:val="en-US"/>
              </w:rPr>
            </w:pPr>
            <w:r>
              <w:rPr>
                <w:lang w:val="en-US"/>
              </w:rPr>
              <w:t>-6.73</w:t>
            </w:r>
          </w:p>
        </w:tc>
        <w:tc>
          <w:tcPr>
            <w:tcW w:w="1276" w:type="dxa"/>
            <w:shd w:val="clear" w:color="auto" w:fill="auto"/>
            <w:vAlign w:val="center"/>
          </w:tcPr>
          <w:p>
            <w:pPr>
              <w:jc w:val="center"/>
              <w:rPr>
                <w:lang w:val="en-US"/>
              </w:rPr>
            </w:pPr>
            <w:r>
              <w:rPr>
                <w:lang w:val="en-US"/>
              </w:rPr>
              <w:t>-5.33</w:t>
            </w:r>
          </w:p>
        </w:tc>
        <w:tc>
          <w:tcPr>
            <w:tcW w:w="1701" w:type="dxa"/>
            <w:shd w:val="clear" w:color="auto" w:fill="auto"/>
            <w:vAlign w:val="center"/>
          </w:tcPr>
          <w:p>
            <w:pPr>
              <w:jc w:val="center"/>
              <w:rPr>
                <w:lang w:val="en-US"/>
              </w:rPr>
            </w:pPr>
            <w:r>
              <w:rPr>
                <w:lang w:val="en-US"/>
              </w:rPr>
              <w:t>-1.40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未命名(1EAA)</w:t>
            </w:r>
          </w:p>
        </w:tc>
        <w:tc>
          <w:tcPr>
            <w:tcW w:w="1276" w:type="dxa"/>
            <w:shd w:val="clear" w:color="auto" w:fill="auto"/>
            <w:vAlign w:val="center"/>
          </w:tcPr>
          <w:p>
            <w:pPr>
              <w:jc w:val="center"/>
              <w:rPr>
                <w:lang w:val="en-US"/>
              </w:rPr>
            </w:pPr>
            <w:r>
              <w:rPr>
                <w:lang w:val="en-US"/>
              </w:rPr>
              <w:t>-1.95</w:t>
            </w:r>
          </w:p>
        </w:tc>
        <w:tc>
          <w:tcPr>
            <w:tcW w:w="1276" w:type="dxa"/>
            <w:shd w:val="clear" w:color="auto" w:fill="auto"/>
            <w:vAlign w:val="center"/>
          </w:tcPr>
          <w:p>
            <w:pPr>
              <w:jc w:val="center"/>
              <w:rPr>
                <w:lang w:val="en-US"/>
              </w:rPr>
            </w:pPr>
            <w:r>
              <w:rPr>
                <w:lang w:val="en-US"/>
              </w:rPr>
              <w:t>-1.90</w:t>
            </w:r>
          </w:p>
        </w:tc>
        <w:tc>
          <w:tcPr>
            <w:tcW w:w="1701" w:type="dxa"/>
            <w:shd w:val="clear" w:color="auto" w:fill="auto"/>
            <w:vAlign w:val="center"/>
          </w:tcPr>
          <w:p>
            <w:pPr>
              <w:jc w:val="center"/>
              <w:rPr>
                <w:lang w:val="en-US"/>
              </w:rPr>
            </w:pPr>
            <w:r>
              <w:rPr>
                <w:lang w:val="en-US"/>
              </w:rPr>
              <w:t>-0.04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未命名(1EAD)</w:t>
            </w:r>
          </w:p>
        </w:tc>
        <w:tc>
          <w:tcPr>
            <w:tcW w:w="1276" w:type="dxa"/>
            <w:shd w:val="clear" w:color="auto" w:fill="auto"/>
            <w:vAlign w:val="center"/>
          </w:tcPr>
          <w:p>
            <w:pPr>
              <w:jc w:val="center"/>
              <w:rPr>
                <w:lang w:val="en-US"/>
              </w:rPr>
            </w:pPr>
            <w:r>
              <w:rPr>
                <w:lang w:val="en-US"/>
              </w:rPr>
              <w:t>-1.72</w:t>
            </w:r>
          </w:p>
        </w:tc>
        <w:tc>
          <w:tcPr>
            <w:tcW w:w="1276" w:type="dxa"/>
            <w:shd w:val="clear" w:color="auto" w:fill="auto"/>
            <w:vAlign w:val="center"/>
          </w:tcPr>
          <w:p>
            <w:pPr>
              <w:jc w:val="center"/>
              <w:rPr>
                <w:lang w:val="en-US"/>
              </w:rPr>
            </w:pPr>
            <w:r>
              <w:rPr>
                <w:lang w:val="en-US"/>
              </w:rPr>
              <w:t>-3.28</w:t>
            </w:r>
          </w:p>
        </w:tc>
        <w:tc>
          <w:tcPr>
            <w:tcW w:w="1701" w:type="dxa"/>
            <w:shd w:val="clear" w:color="auto" w:fill="auto"/>
            <w:vAlign w:val="center"/>
          </w:tcPr>
          <w:p>
            <w:pPr>
              <w:jc w:val="center"/>
              <w:rPr>
                <w:lang w:val="en-US"/>
              </w:rPr>
            </w:pPr>
            <w:r>
              <w:rPr>
                <w:lang w:val="en-US"/>
              </w:rPr>
              <w:t>1.56</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未命名(1EB0)</w:t>
            </w:r>
          </w:p>
        </w:tc>
        <w:tc>
          <w:tcPr>
            <w:tcW w:w="1276" w:type="dxa"/>
            <w:shd w:val="clear" w:color="auto" w:fill="auto"/>
            <w:vAlign w:val="center"/>
          </w:tcPr>
          <w:p>
            <w:pPr>
              <w:jc w:val="center"/>
              <w:rPr>
                <w:lang w:val="en-US"/>
              </w:rPr>
            </w:pPr>
            <w:r>
              <w:rPr>
                <w:lang w:val="en-US"/>
              </w:rPr>
              <w:t>0.73</w:t>
            </w:r>
          </w:p>
        </w:tc>
        <w:tc>
          <w:tcPr>
            <w:tcW w:w="1276" w:type="dxa"/>
            <w:shd w:val="clear" w:color="auto" w:fill="auto"/>
            <w:vAlign w:val="center"/>
          </w:tcPr>
          <w:p>
            <w:pPr>
              <w:jc w:val="center"/>
              <w:rPr>
                <w:lang w:val="en-US"/>
              </w:rPr>
            </w:pPr>
            <w:r>
              <w:rPr>
                <w:lang w:val="en-US"/>
              </w:rPr>
              <w:t>-9.34</w:t>
            </w:r>
          </w:p>
        </w:tc>
        <w:tc>
          <w:tcPr>
            <w:tcW w:w="1701" w:type="dxa"/>
            <w:shd w:val="clear" w:color="auto" w:fill="auto"/>
            <w:vAlign w:val="center"/>
          </w:tcPr>
          <w:p>
            <w:pPr>
              <w:jc w:val="center"/>
              <w:rPr>
                <w:lang w:val="en-US"/>
              </w:rPr>
            </w:pPr>
            <w:r>
              <w:rPr>
                <w:color w:val="FF0000"/>
                <w:lang w:val="en-US"/>
              </w:rPr>
              <w:t>10.07</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未命名(1EB3)</w:t>
            </w:r>
          </w:p>
        </w:tc>
        <w:tc>
          <w:tcPr>
            <w:tcW w:w="1276" w:type="dxa"/>
            <w:shd w:val="clear" w:color="auto" w:fill="auto"/>
            <w:vAlign w:val="center"/>
          </w:tcPr>
          <w:p>
            <w:pPr>
              <w:jc w:val="center"/>
              <w:rPr>
                <w:lang w:val="en-US"/>
              </w:rPr>
            </w:pPr>
            <w:r>
              <w:rPr>
                <w:lang w:val="en-US"/>
              </w:rPr>
              <w:t>-4.47</w:t>
            </w:r>
          </w:p>
        </w:tc>
        <w:tc>
          <w:tcPr>
            <w:tcW w:w="1276" w:type="dxa"/>
            <w:shd w:val="clear" w:color="auto" w:fill="auto"/>
            <w:vAlign w:val="center"/>
          </w:tcPr>
          <w:p>
            <w:pPr>
              <w:jc w:val="center"/>
              <w:rPr>
                <w:lang w:val="en-US"/>
              </w:rPr>
            </w:pPr>
            <w:r>
              <w:rPr>
                <w:lang w:val="en-US"/>
              </w:rPr>
              <w:t>-6.30</w:t>
            </w:r>
          </w:p>
        </w:tc>
        <w:tc>
          <w:tcPr>
            <w:tcW w:w="1701" w:type="dxa"/>
            <w:shd w:val="clear" w:color="auto" w:fill="auto"/>
            <w:vAlign w:val="center"/>
          </w:tcPr>
          <w:p>
            <w:pPr>
              <w:jc w:val="center"/>
              <w:rPr>
                <w:lang w:val="en-US"/>
              </w:rPr>
            </w:pPr>
            <w:r>
              <w:rPr>
                <w:lang w:val="en-US"/>
              </w:rPr>
              <w:t>1.82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未命名(1EB6)</w:t>
            </w:r>
          </w:p>
        </w:tc>
        <w:tc>
          <w:tcPr>
            <w:tcW w:w="1276" w:type="dxa"/>
            <w:shd w:val="clear" w:color="auto" w:fill="auto"/>
            <w:vAlign w:val="center"/>
          </w:tcPr>
          <w:p>
            <w:pPr>
              <w:jc w:val="center"/>
              <w:rPr>
                <w:lang w:val="en-US"/>
              </w:rPr>
            </w:pPr>
            <w:r>
              <w:rPr>
                <w:lang w:val="en-US"/>
              </w:rPr>
              <w:t>2.09</w:t>
            </w:r>
          </w:p>
        </w:tc>
        <w:tc>
          <w:tcPr>
            <w:tcW w:w="1276" w:type="dxa"/>
            <w:shd w:val="clear" w:color="auto" w:fill="auto"/>
            <w:vAlign w:val="center"/>
          </w:tcPr>
          <w:p>
            <w:pPr>
              <w:jc w:val="center"/>
              <w:rPr>
                <w:lang w:val="en-US"/>
              </w:rPr>
            </w:pPr>
            <w:r>
              <w:rPr>
                <w:lang w:val="en-US"/>
              </w:rPr>
              <w:t>-10.03</w:t>
            </w:r>
          </w:p>
        </w:tc>
        <w:tc>
          <w:tcPr>
            <w:tcW w:w="1701" w:type="dxa"/>
            <w:shd w:val="clear" w:color="auto" w:fill="auto"/>
            <w:vAlign w:val="center"/>
          </w:tcPr>
          <w:p>
            <w:pPr>
              <w:jc w:val="center"/>
              <w:rPr>
                <w:lang w:val="en-US"/>
              </w:rPr>
            </w:pPr>
            <w:r>
              <w:rPr>
                <w:color w:val="FF0000"/>
                <w:lang w:val="en-US"/>
              </w:rPr>
              <w:t>12.12</w:t>
            </w:r>
          </w:p>
        </w:tc>
        <w:tc>
          <w:tcPr>
            <w:tcW w:w="973" w:type="dxa"/>
            <w:shd w:val="clear" w:color="auto" w:fill="auto"/>
            <w:vAlign w:val="center"/>
          </w:tcPr>
          <w:p>
            <w:pPr>
              <w:jc w:val="center"/>
              <w:rPr>
                <w:lang w:val="en-US"/>
              </w:rPr>
            </w:pPr>
            <w:r>
              <w:rPr>
                <w:color w:val="FF0000"/>
                <w:lang w:val="en-US"/>
              </w:rPr>
              <w:t>否</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未命名(1EB9)</w:t>
            </w:r>
          </w:p>
        </w:tc>
        <w:tc>
          <w:tcPr>
            <w:tcW w:w="1276" w:type="dxa"/>
            <w:shd w:val="clear" w:color="auto" w:fill="auto"/>
            <w:vAlign w:val="center"/>
          </w:tcPr>
          <w:p>
            <w:pPr>
              <w:jc w:val="center"/>
              <w:rPr>
                <w:lang w:val="en-US"/>
              </w:rPr>
            </w:pPr>
            <w:r>
              <w:rPr>
                <w:lang w:val="en-US"/>
              </w:rPr>
              <w:t>-1.98</w:t>
            </w:r>
          </w:p>
        </w:tc>
        <w:tc>
          <w:tcPr>
            <w:tcW w:w="1276" w:type="dxa"/>
            <w:shd w:val="clear" w:color="auto" w:fill="auto"/>
            <w:vAlign w:val="center"/>
          </w:tcPr>
          <w:p>
            <w:pPr>
              <w:jc w:val="center"/>
              <w:rPr>
                <w:lang w:val="en-US"/>
              </w:rPr>
            </w:pPr>
            <w:r>
              <w:rPr>
                <w:lang w:val="en-US"/>
              </w:rPr>
              <w:t>-4.40</w:t>
            </w:r>
          </w:p>
        </w:tc>
        <w:tc>
          <w:tcPr>
            <w:tcW w:w="1701" w:type="dxa"/>
            <w:shd w:val="clear" w:color="auto" w:fill="auto"/>
            <w:vAlign w:val="center"/>
          </w:tcPr>
          <w:p>
            <w:pPr>
              <w:jc w:val="center"/>
              <w:rPr>
                <w:lang w:val="en-US"/>
              </w:rPr>
            </w:pPr>
            <w:r>
              <w:rPr>
                <w:lang w:val="en-US"/>
              </w:rPr>
              <w:t>2.42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未命名(1EBC)</w:t>
            </w:r>
          </w:p>
        </w:tc>
        <w:tc>
          <w:tcPr>
            <w:tcW w:w="1276" w:type="dxa"/>
            <w:shd w:val="clear" w:color="auto" w:fill="auto"/>
            <w:vAlign w:val="center"/>
          </w:tcPr>
          <w:p>
            <w:pPr>
              <w:jc w:val="center"/>
              <w:rPr>
                <w:lang w:val="en-US"/>
              </w:rPr>
            </w:pPr>
            <w:r>
              <w:rPr>
                <w:lang w:val="en-US"/>
              </w:rPr>
              <w:t>-2.90</w:t>
            </w:r>
          </w:p>
        </w:tc>
        <w:tc>
          <w:tcPr>
            <w:tcW w:w="1276" w:type="dxa"/>
            <w:shd w:val="clear" w:color="auto" w:fill="auto"/>
            <w:vAlign w:val="center"/>
          </w:tcPr>
          <w:p>
            <w:pPr>
              <w:jc w:val="center"/>
              <w:rPr>
                <w:lang w:val="en-US"/>
              </w:rPr>
            </w:pPr>
            <w:r>
              <w:rPr>
                <w:lang w:val="en-US"/>
              </w:rPr>
              <w:t>-5.81</w:t>
            </w:r>
          </w:p>
        </w:tc>
        <w:tc>
          <w:tcPr>
            <w:tcW w:w="1701" w:type="dxa"/>
            <w:shd w:val="clear" w:color="auto" w:fill="auto"/>
            <w:vAlign w:val="center"/>
          </w:tcPr>
          <w:p>
            <w:pPr>
              <w:jc w:val="center"/>
              <w:rPr>
                <w:lang w:val="en-US"/>
              </w:rPr>
            </w:pPr>
            <w:r>
              <w:rPr>
                <w:lang w:val="en-US"/>
              </w:rPr>
              <w:t>2.91</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未命名(1EBF)</w:t>
            </w:r>
          </w:p>
        </w:tc>
        <w:tc>
          <w:tcPr>
            <w:tcW w:w="1276" w:type="dxa"/>
            <w:shd w:val="clear" w:color="auto" w:fill="auto"/>
            <w:vAlign w:val="center"/>
          </w:tcPr>
          <w:p>
            <w:pPr>
              <w:jc w:val="center"/>
              <w:rPr>
                <w:lang w:val="en-US"/>
              </w:rPr>
            </w:pPr>
            <w:r>
              <w:rPr>
                <w:lang w:val="en-US"/>
              </w:rPr>
              <w:t>0.40</w:t>
            </w:r>
          </w:p>
        </w:tc>
        <w:tc>
          <w:tcPr>
            <w:tcW w:w="1276" w:type="dxa"/>
            <w:shd w:val="clear" w:color="auto" w:fill="auto"/>
            <w:vAlign w:val="center"/>
          </w:tcPr>
          <w:p>
            <w:pPr>
              <w:jc w:val="center"/>
              <w:rPr>
                <w:lang w:val="en-US"/>
              </w:rPr>
            </w:pPr>
            <w:r>
              <w:rPr>
                <w:lang w:val="en-US"/>
              </w:rPr>
              <w:t>-3.14</w:t>
            </w:r>
          </w:p>
        </w:tc>
        <w:tc>
          <w:tcPr>
            <w:tcW w:w="1701" w:type="dxa"/>
            <w:shd w:val="clear" w:color="auto" w:fill="auto"/>
            <w:vAlign w:val="center"/>
          </w:tcPr>
          <w:p>
            <w:pPr>
              <w:jc w:val="center"/>
              <w:rPr>
                <w:lang w:val="en-US"/>
              </w:rPr>
            </w:pPr>
            <w:r>
              <w:rPr>
                <w:lang w:val="en-US"/>
              </w:rPr>
              <w:t>3.54</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未命名(1EC2)</w:t>
            </w:r>
          </w:p>
        </w:tc>
        <w:tc>
          <w:tcPr>
            <w:tcW w:w="1276" w:type="dxa"/>
            <w:shd w:val="clear" w:color="auto" w:fill="auto"/>
            <w:vAlign w:val="center"/>
          </w:tcPr>
          <w:p>
            <w:pPr>
              <w:jc w:val="center"/>
              <w:rPr>
                <w:lang w:val="en-US"/>
              </w:rPr>
            </w:pPr>
            <w:r>
              <w:rPr>
                <w:lang w:val="en-US"/>
              </w:rPr>
              <w:t>-1.69</w:t>
            </w:r>
          </w:p>
        </w:tc>
        <w:tc>
          <w:tcPr>
            <w:tcW w:w="1276" w:type="dxa"/>
            <w:shd w:val="clear" w:color="auto" w:fill="auto"/>
            <w:vAlign w:val="center"/>
          </w:tcPr>
          <w:p>
            <w:pPr>
              <w:jc w:val="center"/>
              <w:rPr>
                <w:lang w:val="en-US"/>
              </w:rPr>
            </w:pPr>
            <w:r>
              <w:rPr>
                <w:lang w:val="en-US"/>
              </w:rPr>
              <w:t>-4.42</w:t>
            </w:r>
          </w:p>
        </w:tc>
        <w:tc>
          <w:tcPr>
            <w:tcW w:w="1701" w:type="dxa"/>
            <w:shd w:val="clear" w:color="auto" w:fill="auto"/>
            <w:vAlign w:val="center"/>
          </w:tcPr>
          <w:p>
            <w:pPr>
              <w:jc w:val="center"/>
              <w:rPr>
                <w:lang w:val="en-US"/>
              </w:rPr>
            </w:pPr>
            <w:r>
              <w:rPr>
                <w:lang w:val="en-US"/>
              </w:rPr>
              <w:t>2.72</w:t>
            </w:r>
          </w:p>
        </w:tc>
        <w:tc>
          <w:tcPr>
            <w:tcW w:w="973" w:type="dxa"/>
            <w:shd w:val="clear" w:color="auto" w:fill="auto"/>
            <w:vAlign w:val="center"/>
          </w:tcPr>
          <w:p>
            <w:pPr>
              <w:jc w:val="center"/>
              <w:rPr>
                <w:lang w:val="en-US"/>
              </w:rPr>
            </w:pPr>
            <w:r>
              <w:rPr>
                <w:lang w:val="en-US"/>
              </w:rPr>
              <w:t>是</w:t>
            </w:r>
          </w:p>
        </w:tc>
      </w:tr>
      <w:bookmarkEnd w:id="124"/>
    </w:tbl>
    <w:p>
      <w:pPr>
        <w:rPr>
          <w:lang w:val="en-US"/>
        </w:rPr>
      </w:pPr>
      <w:bookmarkStart w:id="125" w:name="建筑迎风和背风面风压差结论汇总结论"/>
      <w:bookmarkEnd w:id="125"/>
      <w:r>
        <w:rPr>
          <w:lang w:val="en-US"/>
        </w:rPr>
        <w:t>结论：本项目中参评建筑未命名、未命名、未命名迎背风压差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pPr>
        <w:rPr>
          <w:lang w:val="en-US"/>
        </w:rPr>
      </w:pPr>
      <w:bookmarkStart w:id="126" w:name="冬季工况"/>
      <w:bookmarkEnd w:id="126"/>
      <w:r>
        <w:rPr>
          <w:rFonts w:hint="eastAsia"/>
          <w:lang w:val="en-US"/>
        </w:rPr>
        <w:t xml:space="preserve"> </w:t>
      </w:r>
    </w:p>
    <w:p>
      <w:pPr>
        <w:pStyle w:val="4"/>
      </w:pPr>
      <w:bookmarkStart w:id="127" w:name="_Toc10512"/>
      <w:bookmarkStart w:id="128" w:name="_Toc509844759"/>
      <w:r>
        <w:rPr>
          <w:rFonts w:hint="eastAsia"/>
        </w:rPr>
        <w:t>夏季工况</w:t>
      </w:r>
      <w:bookmarkEnd w:id="127"/>
      <w:bookmarkEnd w:id="128"/>
    </w:p>
    <w:p>
      <w:pPr>
        <w:pStyle w:val="3"/>
        <w:ind w:firstLine="420"/>
      </w:pPr>
      <w:r>
        <w:rPr>
          <w:rFonts w:hint="eastAsia"/>
          <w:lang w:val="en-US"/>
        </w:rPr>
        <w:t>本项目夏季</w:t>
      </w:r>
      <w:bookmarkEnd w:id="2"/>
      <w:r>
        <w:rPr>
          <w:rFonts w:hint="eastAsia"/>
          <w:lang w:val="en-US"/>
        </w:rPr>
        <w:t>工况的入口边界风速为</w:t>
      </w:r>
      <w:bookmarkStart w:id="129" w:name="入口边界风速"/>
      <w:r>
        <w:rPr>
          <w:rFonts w:hint="eastAsia"/>
          <w:lang w:val="en-US"/>
        </w:rPr>
        <w:t>4.60</w:t>
      </w:r>
      <w:bookmarkEnd w:id="129"/>
      <w:r>
        <w:rPr>
          <w:rFonts w:hint="eastAsia"/>
          <w:lang w:val="en-US"/>
        </w:rPr>
        <w:t>m/s，风向为</w:t>
      </w:r>
      <w:bookmarkStart w:id="130" w:name="入口边界风向"/>
      <w:r>
        <w:t>WSW</w:t>
      </w:r>
      <w:bookmarkEnd w:id="130"/>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31" w:name="季节4"/>
      <w:r>
        <w:rPr>
          <w:rFonts w:hint="eastAsia"/>
          <w:lang w:val="en-US"/>
        </w:rPr>
        <w:t>夏季</w:t>
      </w:r>
      <w:bookmarkEnd w:id="131"/>
      <w:r>
        <w:rPr>
          <w:rFonts w:hint="eastAsia"/>
          <w:lang w:val="en-US"/>
        </w:rPr>
        <w:t>形成有效的巷道风，优化街区自然通风环境，避免</w:t>
      </w:r>
      <w:bookmarkStart w:id="132" w:name="季节5"/>
      <w:r>
        <w:rPr>
          <w:rFonts w:hint="eastAsia"/>
          <w:lang w:val="en-US"/>
        </w:rPr>
        <w:t>夏季</w:t>
      </w:r>
      <w:bookmarkEnd w:id="132"/>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3" w:name="_Toc509844760"/>
      <w:bookmarkStart w:id="134" w:name="_Toc24978"/>
      <w:r>
        <w:rPr>
          <w:rFonts w:hint="eastAsia"/>
        </w:rPr>
        <w:t>人活动区域无风区计算分析</w:t>
      </w:r>
      <w:bookmarkEnd w:id="133"/>
      <w:bookmarkEnd w:id="134"/>
    </w:p>
    <w:p>
      <w:pPr>
        <w:pStyle w:val="3"/>
        <w:spacing w:after="156" w:afterLines="50" w:line="240" w:lineRule="auto"/>
        <w:ind w:firstLine="420" w:firstLineChars="0"/>
        <w:jc w:val="left"/>
      </w:pPr>
      <w:bookmarkStart w:id="135" w:name="人行区风速分析"/>
      <w:r>
        <w:rPr>
          <w:rFonts w:hint="eastAsia"/>
        </w:rPr>
        <w:t>（本项目未划分人活动区域）</w:t>
      </w:r>
    </w:p>
    <w:bookmarkEnd w:id="135"/>
    <w:p>
      <w:pPr>
        <w:pStyle w:val="3"/>
        <w:ind w:firstLine="420"/>
      </w:pPr>
    </w:p>
    <w:p>
      <w:pPr>
        <w:pStyle w:val="5"/>
      </w:pPr>
      <w:bookmarkStart w:id="136" w:name="_Toc509844761"/>
      <w:bookmarkStart w:id="137" w:name="_Toc11542"/>
      <w:r>
        <w:rPr>
          <w:rFonts w:hint="eastAsia"/>
        </w:rPr>
        <w:t>人活动区域旋涡区分析</w:t>
      </w:r>
      <w:bookmarkEnd w:id="136"/>
      <w:bookmarkEnd w:id="137"/>
    </w:p>
    <w:p>
      <w:pPr>
        <w:pStyle w:val="3"/>
        <w:ind w:firstLine="420" w:firstLineChars="0"/>
      </w:pPr>
      <w:bookmarkStart w:id="138" w:name="人行区风速矢量分析"/>
      <w:r>
        <w:rPr>
          <w:rFonts w:hint="eastAsia"/>
        </w:rPr>
        <w:t>（本项目未划分人活动区域）</w:t>
      </w:r>
    </w:p>
    <w:bookmarkEnd w:id="138"/>
    <w:p>
      <w:pPr>
        <w:pStyle w:val="3"/>
        <w:ind w:firstLine="420"/>
        <w:rPr>
          <w:lang w:val="en-US"/>
        </w:rPr>
      </w:pPr>
    </w:p>
    <w:p>
      <w:pPr>
        <w:pStyle w:val="5"/>
      </w:pPr>
      <w:bookmarkStart w:id="139" w:name="_Toc509844762"/>
      <w:bookmarkStart w:id="140" w:name="_Toc29026"/>
      <w:r>
        <w:rPr>
          <w:rFonts w:hint="eastAsia"/>
        </w:rPr>
        <w:t>人活动区域旋涡区/无风区达标</w:t>
      </w:r>
      <w:bookmarkEnd w:id="139"/>
      <w:r>
        <w:rPr>
          <w:rFonts w:hint="eastAsia"/>
        </w:rPr>
        <w:t>结果汇总</w:t>
      </w:r>
      <w:bookmarkEnd w:id="140"/>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41" w:name="季节8"/>
      <w:r>
        <w:rPr>
          <w:rFonts w:hint="eastAsia" w:ascii="黑体" w:hAnsi="黑体" w:eastAsia="黑体"/>
          <w:sz w:val="20"/>
          <w:szCs w:val="20"/>
        </w:rPr>
        <w:t>夏季</w:t>
      </w:r>
      <w:bookmarkEnd w:id="141"/>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是否有无风区"/>
            <w:r>
              <w:rPr>
                <w:rFonts w:hint="eastAsia" w:ascii="宋体" w:hAnsi="宋体" w:cs="宋体"/>
                <w:color w:val="000000"/>
                <w:sz w:val="22"/>
                <w:szCs w:val="22"/>
                <w:lang w:val="en-US"/>
              </w:rPr>
              <w:t>否</w:t>
            </w:r>
            <w:bookmarkEnd w:id="142"/>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3" w:name="无风区达标判断"/>
            <w:r>
              <w:rPr>
                <w:rFonts w:hint="eastAsia" w:ascii="宋体" w:hAnsi="宋体" w:cs="宋体"/>
                <w:color w:val="000000"/>
                <w:sz w:val="22"/>
                <w:szCs w:val="22"/>
                <w:lang w:val="en-US"/>
              </w:rPr>
              <w:t>是</w:t>
            </w:r>
            <w:bookmarkEnd w:id="143"/>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4" w:name="是否有旋涡区"/>
            <w:r>
              <w:rPr>
                <w:rFonts w:ascii="宋体" w:hAnsi="宋体" w:cs="宋体"/>
                <w:color w:val="000000"/>
                <w:sz w:val="22"/>
                <w:szCs w:val="22"/>
                <w:lang w:val="en-US"/>
              </w:rPr>
              <w:t>否</w:t>
            </w:r>
            <w:bookmarkEnd w:id="144"/>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5" w:name="旋涡区达标判断"/>
            <w:r>
              <w:rPr>
                <w:rFonts w:ascii="宋体" w:hAnsi="宋体" w:cs="宋体"/>
                <w:color w:val="000000"/>
                <w:sz w:val="22"/>
                <w:szCs w:val="22"/>
                <w:lang w:val="en-US"/>
              </w:rPr>
              <w:t>是</w:t>
            </w:r>
            <w:bookmarkEnd w:id="145"/>
          </w:p>
        </w:tc>
      </w:tr>
    </w:tbl>
    <w:p>
      <w:pPr>
        <w:pStyle w:val="5"/>
      </w:pPr>
      <w:bookmarkStart w:id="146" w:name="_Toc504501018"/>
      <w:bookmarkStart w:id="147" w:name="_Toc509844763"/>
      <w:bookmarkStart w:id="148" w:name="_Toc24108"/>
      <w:r>
        <w:rPr>
          <w:rFonts w:hint="eastAsia"/>
        </w:rPr>
        <w:t>外窗内外表面风压</w:t>
      </w:r>
      <w:bookmarkEnd w:id="146"/>
      <w:r>
        <w:rPr>
          <w:rFonts w:hint="eastAsia"/>
        </w:rPr>
        <w:t>差达标分析</w:t>
      </w:r>
      <w:bookmarkEnd w:id="147"/>
      <w:bookmarkEnd w:id="148"/>
    </w:p>
    <w:p>
      <w:pPr>
        <w:pStyle w:val="3"/>
        <w:ind w:firstLine="420"/>
      </w:pPr>
      <w:r>
        <w:rPr>
          <w:rFonts w:hint="eastAsia"/>
          <w:lang w:val="en-US"/>
        </w:rPr>
        <w:t>分析《绿色建筑评价标准》，</w:t>
      </w:r>
      <w:bookmarkStart w:id="149" w:name="季节9"/>
      <w:r>
        <w:rPr>
          <w:rFonts w:hint="eastAsia"/>
          <w:lang w:val="en-US"/>
        </w:rPr>
        <w:t>夏季</w:t>
      </w:r>
      <w:bookmarkEnd w:id="149"/>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bookmarkStart w:id="150" w:name="迎风面风压云图"/>
      <w:bookmarkEnd w:id="150"/>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1"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&lt;未命名&gt;</w:t>
            </w:r>
          </w:p>
        </w:tc>
        <w:tc>
          <w:tcPr>
            <w:tcW w:w="1134" w:type="dxa"/>
            <w:shd w:val="clear" w:color="auto" w:fill="auto"/>
            <w:vAlign w:val="center"/>
          </w:tcPr>
          <w:p>
            <w:pPr>
              <w:jc w:val="center"/>
              <w:rPr>
                <w:lang w:val="en-US"/>
              </w:rPr>
            </w:pPr>
            <w:r>
              <w:rPr>
                <w:lang w:val="en-US"/>
              </w:rPr>
              <w:t>133</w:t>
            </w:r>
          </w:p>
        </w:tc>
        <w:tc>
          <w:tcPr>
            <w:tcW w:w="1984" w:type="dxa"/>
            <w:shd w:val="clear" w:color="auto" w:fill="auto"/>
            <w:vAlign w:val="center"/>
          </w:tcPr>
          <w:p>
            <w:pPr>
              <w:jc w:val="center"/>
              <w:rPr>
                <w:lang w:val="en-US"/>
              </w:rPr>
            </w:pPr>
            <w:r>
              <w:rPr>
                <w:lang w:val="en-US"/>
              </w:rPr>
              <w:t>71</w:t>
            </w:r>
          </w:p>
        </w:tc>
        <w:tc>
          <w:tcPr>
            <w:tcW w:w="1116" w:type="dxa"/>
            <w:shd w:val="clear" w:color="auto" w:fill="auto"/>
            <w:vAlign w:val="center"/>
          </w:tcPr>
          <w:p>
            <w:pPr>
              <w:jc w:val="center"/>
              <w:rPr>
                <w:lang w:val="en-US"/>
              </w:rPr>
            </w:pPr>
            <w:r>
              <w:rPr>
                <w:lang w:val="en-US"/>
              </w:rPr>
              <w:t>53.38</w:t>
            </w:r>
          </w:p>
        </w:tc>
        <w:tc>
          <w:tcPr>
            <w:tcW w:w="708"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190</w:t>
            </w:r>
          </w:p>
        </w:tc>
        <w:tc>
          <w:tcPr>
            <w:tcW w:w="1984" w:type="dxa"/>
            <w:shd w:val="clear" w:color="auto" w:fill="auto"/>
            <w:vAlign w:val="center"/>
          </w:tcPr>
          <w:p>
            <w:pPr>
              <w:jc w:val="center"/>
              <w:rPr>
                <w:lang w:val="en-US"/>
              </w:rPr>
            </w:pPr>
            <w:r>
              <w:rPr>
                <w:lang w:val="en-US"/>
              </w:rPr>
              <w:t>69</w:t>
            </w:r>
          </w:p>
        </w:tc>
        <w:tc>
          <w:tcPr>
            <w:tcW w:w="1116" w:type="dxa"/>
            <w:shd w:val="clear" w:color="auto" w:fill="auto"/>
            <w:vAlign w:val="center"/>
          </w:tcPr>
          <w:p>
            <w:pPr>
              <w:jc w:val="center"/>
              <w:rPr>
                <w:lang w:val="en-US"/>
              </w:rPr>
            </w:pPr>
            <w:r>
              <w:rPr>
                <w:lang w:val="en-US"/>
              </w:rPr>
              <w:t>36.32</w:t>
            </w:r>
          </w:p>
        </w:tc>
        <w:tc>
          <w:tcPr>
            <w:tcW w:w="708" w:type="dxa"/>
            <w:shd w:val="clear" w:color="auto" w:fill="auto"/>
            <w:vAlign w:val="center"/>
          </w:tcPr>
          <w:p>
            <w:pPr>
              <w:jc w:val="center"/>
              <w:rPr>
                <w:lang w:val="en-US"/>
              </w:rPr>
            </w:pPr>
            <w:r>
              <w:rPr>
                <w:color w:val="FF0000"/>
                <w:lang w:val="en-US"/>
              </w:rPr>
              <w:t>否</w:t>
            </w:r>
          </w:p>
        </w:tc>
      </w:tr>
      <w:bookmarkEnd w:id="151"/>
    </w:tbl>
    <w:p>
      <w:r>
        <w:rPr>
          <w:rFonts w:hint="eastAsia"/>
          <w:lang w:val="en-US"/>
        </w:rPr>
        <w:t>说明：达标比例＝（室内外风压差大于0.5Pa的总数/可开启外窗总数）*100％</w:t>
      </w:r>
    </w:p>
    <w:bookmarkEnd w:id="33"/>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52"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未命名(1E9E)</w:t>
            </w:r>
          </w:p>
        </w:tc>
        <w:tc>
          <w:tcPr>
            <w:tcW w:w="1417" w:type="dxa"/>
            <w:vAlign w:val="center"/>
          </w:tcPr>
          <w:p>
            <w:pPr>
              <w:spacing w:line="360" w:lineRule="exact"/>
              <w:jc w:val="center"/>
              <w:rPr>
                <w:lang w:val="en-US"/>
              </w:rPr>
            </w:pPr>
            <w:r>
              <w:rPr>
                <w:lang w:val="en-US"/>
              </w:rPr>
              <w:t>1895.75</w:t>
            </w:r>
          </w:p>
        </w:tc>
        <w:tc>
          <w:tcPr>
            <w:tcW w:w="2552" w:type="dxa"/>
            <w:vAlign w:val="center"/>
          </w:tcPr>
          <w:p>
            <w:pPr>
              <w:spacing w:line="360" w:lineRule="exact"/>
              <w:jc w:val="center"/>
              <w:rPr>
                <w:lang w:val="en-US"/>
              </w:rPr>
            </w:pPr>
            <w:r>
              <w:rPr>
                <w:lang w:val="en-US"/>
              </w:rPr>
              <w:t>1864.19</w:t>
            </w:r>
          </w:p>
        </w:tc>
        <w:tc>
          <w:tcPr>
            <w:tcW w:w="1134" w:type="dxa"/>
            <w:vAlign w:val="center"/>
          </w:tcPr>
          <w:p>
            <w:pPr>
              <w:spacing w:line="360" w:lineRule="exact"/>
              <w:jc w:val="center"/>
              <w:rPr>
                <w:lang w:val="en-US"/>
              </w:rPr>
            </w:pPr>
            <w:r>
              <w:rPr>
                <w:lang w:val="en-US"/>
              </w:rPr>
              <w:t>98.34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未命名(1EA1)</w:t>
            </w:r>
          </w:p>
        </w:tc>
        <w:tc>
          <w:tcPr>
            <w:tcW w:w="1417" w:type="dxa"/>
            <w:vAlign w:val="center"/>
          </w:tcPr>
          <w:p>
            <w:pPr>
              <w:spacing w:line="360" w:lineRule="exact"/>
              <w:jc w:val="center"/>
              <w:rPr>
                <w:lang w:val="en-US"/>
              </w:rPr>
            </w:pPr>
            <w:r>
              <w:rPr>
                <w:lang w:val="en-US"/>
              </w:rPr>
              <w:t>2018.04</w:t>
            </w:r>
          </w:p>
        </w:tc>
        <w:tc>
          <w:tcPr>
            <w:tcW w:w="2552" w:type="dxa"/>
            <w:vAlign w:val="center"/>
          </w:tcPr>
          <w:p>
            <w:pPr>
              <w:spacing w:line="360" w:lineRule="exact"/>
              <w:jc w:val="center"/>
              <w:rPr>
                <w:lang w:val="en-US"/>
              </w:rPr>
            </w:pPr>
            <w:r>
              <w:rPr>
                <w:lang w:val="en-US"/>
              </w:rPr>
              <w:t>1998.45</w:t>
            </w:r>
          </w:p>
        </w:tc>
        <w:tc>
          <w:tcPr>
            <w:tcW w:w="1134" w:type="dxa"/>
            <w:vAlign w:val="center"/>
          </w:tcPr>
          <w:p>
            <w:pPr>
              <w:spacing w:line="360" w:lineRule="exact"/>
              <w:jc w:val="center"/>
              <w:rPr>
                <w:lang w:val="en-US"/>
              </w:rPr>
            </w:pPr>
            <w:r>
              <w:rPr>
                <w:lang w:val="en-US"/>
              </w:rPr>
              <w:t>99.03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未命名(1EAA)</w:t>
            </w:r>
          </w:p>
        </w:tc>
        <w:tc>
          <w:tcPr>
            <w:tcW w:w="1417" w:type="dxa"/>
            <w:vAlign w:val="center"/>
          </w:tcPr>
          <w:p>
            <w:pPr>
              <w:spacing w:line="360" w:lineRule="exact"/>
              <w:jc w:val="center"/>
              <w:rPr>
                <w:lang w:val="en-US"/>
              </w:rPr>
            </w:pPr>
            <w:r>
              <w:rPr>
                <w:lang w:val="en-US"/>
              </w:rPr>
              <w:t>1913.64</w:t>
            </w:r>
          </w:p>
        </w:tc>
        <w:tc>
          <w:tcPr>
            <w:tcW w:w="2552" w:type="dxa"/>
            <w:vAlign w:val="center"/>
          </w:tcPr>
          <w:p>
            <w:pPr>
              <w:spacing w:line="360" w:lineRule="exact"/>
              <w:jc w:val="center"/>
              <w:rPr>
                <w:lang w:val="en-US"/>
              </w:rPr>
            </w:pPr>
            <w:r>
              <w:rPr>
                <w:lang w:val="en-US"/>
              </w:rPr>
              <w:t>1876.65</w:t>
            </w:r>
          </w:p>
        </w:tc>
        <w:tc>
          <w:tcPr>
            <w:tcW w:w="1134" w:type="dxa"/>
            <w:vAlign w:val="center"/>
          </w:tcPr>
          <w:p>
            <w:pPr>
              <w:spacing w:line="360" w:lineRule="exact"/>
              <w:jc w:val="center"/>
              <w:rPr>
                <w:lang w:val="en-US"/>
              </w:rPr>
            </w:pPr>
            <w:r>
              <w:rPr>
                <w:lang w:val="en-US"/>
              </w:rPr>
              <w:t>98.07</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未命名(1EAD)</w:t>
            </w:r>
          </w:p>
        </w:tc>
        <w:tc>
          <w:tcPr>
            <w:tcW w:w="1417" w:type="dxa"/>
            <w:vAlign w:val="center"/>
          </w:tcPr>
          <w:p>
            <w:pPr>
              <w:spacing w:line="360" w:lineRule="exact"/>
              <w:jc w:val="center"/>
              <w:rPr>
                <w:lang w:val="en-US"/>
              </w:rPr>
            </w:pPr>
            <w:r>
              <w:rPr>
                <w:lang w:val="en-US"/>
              </w:rPr>
              <w:t>1779.32</w:t>
            </w:r>
          </w:p>
        </w:tc>
        <w:tc>
          <w:tcPr>
            <w:tcW w:w="2552" w:type="dxa"/>
            <w:vAlign w:val="center"/>
          </w:tcPr>
          <w:p>
            <w:pPr>
              <w:spacing w:line="360" w:lineRule="exact"/>
              <w:jc w:val="center"/>
              <w:rPr>
                <w:lang w:val="en-US"/>
              </w:rPr>
            </w:pPr>
            <w:r>
              <w:rPr>
                <w:lang w:val="en-US"/>
              </w:rPr>
              <w:t>1743.69</w:t>
            </w:r>
          </w:p>
        </w:tc>
        <w:tc>
          <w:tcPr>
            <w:tcW w:w="1134" w:type="dxa"/>
            <w:vAlign w:val="center"/>
          </w:tcPr>
          <w:p>
            <w:pPr>
              <w:spacing w:line="360" w:lineRule="exact"/>
              <w:jc w:val="center"/>
              <w:rPr>
                <w:lang w:val="en-US"/>
              </w:rPr>
            </w:pPr>
            <w:r>
              <w:rPr>
                <w:lang w:val="en-US"/>
              </w:rPr>
              <w:t>98.00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未命名(1EB0)</w:t>
            </w:r>
          </w:p>
        </w:tc>
        <w:tc>
          <w:tcPr>
            <w:tcW w:w="1417" w:type="dxa"/>
            <w:vAlign w:val="center"/>
          </w:tcPr>
          <w:p>
            <w:pPr>
              <w:spacing w:line="360" w:lineRule="exact"/>
              <w:jc w:val="center"/>
              <w:rPr>
                <w:lang w:val="en-US"/>
              </w:rPr>
            </w:pPr>
            <w:r>
              <w:rPr>
                <w:lang w:val="en-US"/>
              </w:rPr>
              <w:t>2208.29</w:t>
            </w:r>
          </w:p>
        </w:tc>
        <w:tc>
          <w:tcPr>
            <w:tcW w:w="2552" w:type="dxa"/>
            <w:vAlign w:val="center"/>
          </w:tcPr>
          <w:p>
            <w:pPr>
              <w:spacing w:line="360" w:lineRule="exact"/>
              <w:jc w:val="center"/>
              <w:rPr>
                <w:lang w:val="en-US"/>
              </w:rPr>
            </w:pPr>
            <w:r>
              <w:rPr>
                <w:lang w:val="en-US"/>
              </w:rPr>
              <w:t>2154.05</w:t>
            </w:r>
          </w:p>
        </w:tc>
        <w:tc>
          <w:tcPr>
            <w:tcW w:w="1134" w:type="dxa"/>
            <w:vAlign w:val="center"/>
          </w:tcPr>
          <w:p>
            <w:pPr>
              <w:spacing w:line="360" w:lineRule="exact"/>
              <w:jc w:val="center"/>
              <w:rPr>
                <w:lang w:val="en-US"/>
              </w:rPr>
            </w:pPr>
            <w:r>
              <w:rPr>
                <w:lang w:val="en-US"/>
              </w:rPr>
              <w:t>97.54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未命名(1EB3)</w:t>
            </w:r>
          </w:p>
        </w:tc>
        <w:tc>
          <w:tcPr>
            <w:tcW w:w="1417" w:type="dxa"/>
            <w:vAlign w:val="center"/>
          </w:tcPr>
          <w:p>
            <w:pPr>
              <w:spacing w:line="360" w:lineRule="exact"/>
              <w:jc w:val="center"/>
              <w:rPr>
                <w:lang w:val="en-US"/>
              </w:rPr>
            </w:pPr>
            <w:r>
              <w:rPr>
                <w:lang w:val="en-US"/>
              </w:rPr>
              <w:t>1897.91</w:t>
            </w:r>
          </w:p>
        </w:tc>
        <w:tc>
          <w:tcPr>
            <w:tcW w:w="2552" w:type="dxa"/>
            <w:vAlign w:val="center"/>
          </w:tcPr>
          <w:p>
            <w:pPr>
              <w:spacing w:line="360" w:lineRule="exact"/>
              <w:jc w:val="center"/>
              <w:rPr>
                <w:lang w:val="en-US"/>
              </w:rPr>
            </w:pPr>
            <w:r>
              <w:rPr>
                <w:lang w:val="en-US"/>
              </w:rPr>
              <w:t>1789.03</w:t>
            </w:r>
          </w:p>
        </w:tc>
        <w:tc>
          <w:tcPr>
            <w:tcW w:w="1134" w:type="dxa"/>
            <w:vAlign w:val="center"/>
          </w:tcPr>
          <w:p>
            <w:pPr>
              <w:spacing w:line="360" w:lineRule="exact"/>
              <w:jc w:val="center"/>
              <w:rPr>
                <w:lang w:val="en-US"/>
              </w:rPr>
            </w:pPr>
            <w:r>
              <w:rPr>
                <w:lang w:val="en-US"/>
              </w:rPr>
              <w:t>94.26</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未命名(1EB6)</w:t>
            </w:r>
          </w:p>
        </w:tc>
        <w:tc>
          <w:tcPr>
            <w:tcW w:w="1417" w:type="dxa"/>
            <w:vAlign w:val="center"/>
          </w:tcPr>
          <w:p>
            <w:pPr>
              <w:spacing w:line="360" w:lineRule="exact"/>
              <w:jc w:val="center"/>
              <w:rPr>
                <w:lang w:val="en-US"/>
              </w:rPr>
            </w:pPr>
            <w:r>
              <w:rPr>
                <w:lang w:val="en-US"/>
              </w:rPr>
              <w:t>2483.34</w:t>
            </w:r>
          </w:p>
        </w:tc>
        <w:tc>
          <w:tcPr>
            <w:tcW w:w="2552" w:type="dxa"/>
            <w:vAlign w:val="center"/>
          </w:tcPr>
          <w:p>
            <w:pPr>
              <w:spacing w:line="360" w:lineRule="exact"/>
              <w:jc w:val="center"/>
              <w:rPr>
                <w:lang w:val="en-US"/>
              </w:rPr>
            </w:pPr>
            <w:r>
              <w:rPr>
                <w:lang w:val="en-US"/>
              </w:rPr>
              <w:t>2469.49</w:t>
            </w:r>
          </w:p>
        </w:tc>
        <w:tc>
          <w:tcPr>
            <w:tcW w:w="1134" w:type="dxa"/>
            <w:vAlign w:val="center"/>
          </w:tcPr>
          <w:p>
            <w:pPr>
              <w:spacing w:line="360" w:lineRule="exact"/>
              <w:jc w:val="center"/>
              <w:rPr>
                <w:lang w:val="en-US"/>
              </w:rPr>
            </w:pPr>
            <w:r>
              <w:rPr>
                <w:lang w:val="en-US"/>
              </w:rPr>
              <w:t>99.44</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未命名(1EB9)</w:t>
            </w:r>
          </w:p>
        </w:tc>
        <w:tc>
          <w:tcPr>
            <w:tcW w:w="1417" w:type="dxa"/>
            <w:vAlign w:val="center"/>
          </w:tcPr>
          <w:p>
            <w:pPr>
              <w:spacing w:line="360" w:lineRule="exact"/>
              <w:jc w:val="center"/>
              <w:rPr>
                <w:lang w:val="en-US"/>
              </w:rPr>
            </w:pPr>
            <w:r>
              <w:rPr>
                <w:lang w:val="en-US"/>
              </w:rPr>
              <w:t>2181.44</w:t>
            </w:r>
          </w:p>
        </w:tc>
        <w:tc>
          <w:tcPr>
            <w:tcW w:w="2552" w:type="dxa"/>
            <w:vAlign w:val="center"/>
          </w:tcPr>
          <w:p>
            <w:pPr>
              <w:spacing w:line="360" w:lineRule="exact"/>
              <w:jc w:val="center"/>
              <w:rPr>
                <w:lang w:val="en-US"/>
              </w:rPr>
            </w:pPr>
            <w:r>
              <w:rPr>
                <w:lang w:val="en-US"/>
              </w:rPr>
              <w:t>2174.67</w:t>
            </w:r>
          </w:p>
        </w:tc>
        <w:tc>
          <w:tcPr>
            <w:tcW w:w="1134" w:type="dxa"/>
            <w:vAlign w:val="center"/>
          </w:tcPr>
          <w:p>
            <w:pPr>
              <w:spacing w:line="360" w:lineRule="exact"/>
              <w:jc w:val="center"/>
              <w:rPr>
                <w:lang w:val="en-US"/>
              </w:rPr>
            </w:pPr>
            <w:r>
              <w:rPr>
                <w:lang w:val="en-US"/>
              </w:rPr>
              <w:t>99.69</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未命名(1EBC)</w:t>
            </w:r>
          </w:p>
        </w:tc>
        <w:tc>
          <w:tcPr>
            <w:tcW w:w="1417" w:type="dxa"/>
            <w:vAlign w:val="center"/>
          </w:tcPr>
          <w:p>
            <w:pPr>
              <w:spacing w:line="360" w:lineRule="exact"/>
              <w:jc w:val="center"/>
              <w:rPr>
                <w:lang w:val="en-US"/>
              </w:rPr>
            </w:pPr>
            <w:r>
              <w:rPr>
                <w:lang w:val="en-US"/>
              </w:rPr>
              <w:t>1778.45</w:t>
            </w:r>
          </w:p>
        </w:tc>
        <w:tc>
          <w:tcPr>
            <w:tcW w:w="2552" w:type="dxa"/>
            <w:vAlign w:val="center"/>
          </w:tcPr>
          <w:p>
            <w:pPr>
              <w:spacing w:line="360" w:lineRule="exact"/>
              <w:jc w:val="center"/>
              <w:rPr>
                <w:lang w:val="en-US"/>
              </w:rPr>
            </w:pPr>
            <w:r>
              <w:rPr>
                <w:lang w:val="en-US"/>
              </w:rPr>
              <w:t>1662.78</w:t>
            </w:r>
          </w:p>
        </w:tc>
        <w:tc>
          <w:tcPr>
            <w:tcW w:w="1134" w:type="dxa"/>
            <w:vAlign w:val="center"/>
          </w:tcPr>
          <w:p>
            <w:pPr>
              <w:spacing w:line="360" w:lineRule="exact"/>
              <w:jc w:val="center"/>
              <w:rPr>
                <w:lang w:val="en-US"/>
              </w:rPr>
            </w:pPr>
            <w:r>
              <w:rPr>
                <w:lang w:val="en-US"/>
              </w:rPr>
              <w:t>93.50</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未命名(1EBF)</w:t>
            </w:r>
          </w:p>
        </w:tc>
        <w:tc>
          <w:tcPr>
            <w:tcW w:w="1417" w:type="dxa"/>
            <w:vAlign w:val="center"/>
          </w:tcPr>
          <w:p>
            <w:pPr>
              <w:spacing w:line="360" w:lineRule="exact"/>
              <w:jc w:val="center"/>
              <w:rPr>
                <w:lang w:val="en-US"/>
              </w:rPr>
            </w:pPr>
            <w:r>
              <w:rPr>
                <w:lang w:val="en-US"/>
              </w:rPr>
              <w:t>4755.79</w:t>
            </w:r>
          </w:p>
        </w:tc>
        <w:tc>
          <w:tcPr>
            <w:tcW w:w="2552" w:type="dxa"/>
            <w:vAlign w:val="center"/>
          </w:tcPr>
          <w:p>
            <w:pPr>
              <w:spacing w:line="360" w:lineRule="exact"/>
              <w:jc w:val="center"/>
              <w:rPr>
                <w:lang w:val="en-US"/>
              </w:rPr>
            </w:pPr>
            <w:r>
              <w:rPr>
                <w:lang w:val="en-US"/>
              </w:rPr>
              <w:t>4652.60</w:t>
            </w:r>
          </w:p>
        </w:tc>
        <w:tc>
          <w:tcPr>
            <w:tcW w:w="1134" w:type="dxa"/>
            <w:vAlign w:val="center"/>
          </w:tcPr>
          <w:p>
            <w:pPr>
              <w:spacing w:line="360" w:lineRule="exact"/>
              <w:jc w:val="center"/>
              <w:rPr>
                <w:lang w:val="en-US"/>
              </w:rPr>
            </w:pPr>
            <w:r>
              <w:rPr>
                <w:lang w:val="en-US"/>
              </w:rPr>
              <w:t>97.83</w:t>
            </w:r>
          </w:p>
        </w:tc>
        <w:tc>
          <w:tcPr>
            <w:tcW w:w="835" w:type="dxa"/>
            <w:vAlign w:val="center"/>
          </w:tcPr>
          <w:p>
            <w:pPr>
              <w:spacing w:line="360" w:lineRule="exact"/>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未命名(1EC2)</w:t>
            </w:r>
          </w:p>
        </w:tc>
        <w:tc>
          <w:tcPr>
            <w:tcW w:w="1417" w:type="dxa"/>
            <w:vAlign w:val="center"/>
          </w:tcPr>
          <w:p>
            <w:pPr>
              <w:spacing w:line="360" w:lineRule="exact"/>
              <w:jc w:val="center"/>
              <w:rPr>
                <w:lang w:val="en-US"/>
              </w:rPr>
            </w:pPr>
            <w:r>
              <w:rPr>
                <w:lang w:val="en-US"/>
              </w:rPr>
              <w:t>4845.60</w:t>
            </w:r>
          </w:p>
        </w:tc>
        <w:tc>
          <w:tcPr>
            <w:tcW w:w="2552" w:type="dxa"/>
            <w:vAlign w:val="center"/>
          </w:tcPr>
          <w:p>
            <w:pPr>
              <w:spacing w:line="360" w:lineRule="exact"/>
              <w:jc w:val="center"/>
              <w:rPr>
                <w:lang w:val="en-US"/>
              </w:rPr>
            </w:pPr>
            <w:r>
              <w:rPr>
                <w:lang w:val="en-US"/>
              </w:rPr>
              <w:t>4754.85</w:t>
            </w:r>
          </w:p>
        </w:tc>
        <w:tc>
          <w:tcPr>
            <w:tcW w:w="1134" w:type="dxa"/>
            <w:vAlign w:val="center"/>
          </w:tcPr>
          <w:p>
            <w:pPr>
              <w:spacing w:line="360" w:lineRule="exact"/>
              <w:jc w:val="center"/>
              <w:rPr>
                <w:lang w:val="en-US"/>
              </w:rPr>
            </w:pPr>
            <w:r>
              <w:rPr>
                <w:lang w:val="en-US"/>
              </w:rPr>
              <w:t>98.13</w:t>
            </w:r>
          </w:p>
        </w:tc>
        <w:tc>
          <w:tcPr>
            <w:tcW w:w="835" w:type="dxa"/>
            <w:vAlign w:val="center"/>
          </w:tcPr>
          <w:p>
            <w:pPr>
              <w:spacing w:line="360" w:lineRule="exact"/>
              <w:jc w:val="center"/>
              <w:rPr>
                <w:lang w:val="en-US"/>
              </w:rPr>
            </w:pPr>
            <w:r>
              <w:rPr>
                <w:lang w:val="en-US"/>
              </w:rPr>
              <w:t>是</w:t>
            </w:r>
          </w:p>
        </w:tc>
      </w:tr>
      <w:bookmarkEnd w:id="152"/>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4"/>
    </w:p>
    <w:p>
      <w:pPr>
        <w:rPr>
          <w:lang w:val="en-US"/>
        </w:rPr>
      </w:pPr>
      <w:bookmarkStart w:id="153" w:name="建筑室内外风压差达标判定结论"/>
      <w:r>
        <w:rPr>
          <w:rFonts w:hint="eastAsia"/>
          <w:lang w:val="en-US"/>
        </w:rPr>
        <w:t>结论：本项目中DT单体建筑未满足“50%以上可开启外窗室内外表面的风压差大于0.5Pa”的要求，该条不得分。</w:t>
      </w:r>
      <w:bookmarkEnd w:id="153"/>
      <w:r>
        <w:rPr>
          <w:rFonts w:hint="eastAsia"/>
          <w:lang w:val="en-US"/>
        </w:rPr>
        <w:t xml:space="preserve"> </w:t>
      </w:r>
    </w:p>
    <w:p>
      <w:pPr>
        <w:rPr>
          <w:lang w:val="en-US"/>
        </w:rPr>
      </w:pPr>
      <w:bookmarkStart w:id="154" w:name="其他工况"/>
      <w:bookmarkEnd w:id="154"/>
      <w:r>
        <w:rPr>
          <w:rFonts w:hint="eastAsia"/>
          <w:lang w:val="en-US"/>
        </w:rPr>
        <w:t xml:space="preserve"> </w:t>
      </w:r>
    </w:p>
    <w:p>
      <w:pPr>
        <w:pStyle w:val="4"/>
      </w:pPr>
      <w:bookmarkStart w:id="155" w:name="_Toc509844764"/>
      <w:bookmarkStart w:id="156" w:name="_Toc8241"/>
      <w:r>
        <w:rPr>
          <w:rFonts w:hint="eastAsia"/>
        </w:rPr>
        <w:t>结论</w:t>
      </w:r>
      <w:bookmarkEnd w:id="155"/>
      <w:bookmarkEnd w:id="156"/>
    </w:p>
    <w:p>
      <w:pPr>
        <w:pStyle w:val="5"/>
      </w:pPr>
      <w:bookmarkStart w:id="157" w:name="_Toc509844765"/>
      <w:bookmarkStart w:id="158" w:name="_Toc24743"/>
      <w:r>
        <w:rPr>
          <w:rFonts w:hint="eastAsia"/>
        </w:rPr>
        <w:t>冬季工况达标判断</w:t>
      </w:r>
      <w:bookmarkEnd w:id="157"/>
      <w:bookmarkEnd w:id="158"/>
      <w:bookmarkStart w:id="159" w:name="_Toc509844766"/>
      <w:bookmarkEnd w:id="159"/>
    </w:p>
    <w:p>
      <w:pPr>
        <w:pStyle w:val="3"/>
        <w:ind w:firstLine="0" w:firstLineChars="0"/>
        <w:jc w:val="center"/>
        <w:rPr>
          <w:rFonts w:ascii="黑体" w:hAnsi="黑体" w:eastAsia="黑体"/>
          <w:sz w:val="20"/>
          <w:szCs w:val="20"/>
        </w:rPr>
      </w:pP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0" w:name="标准要求冬季风速得分"/>
            <w:r>
              <w:rPr>
                <w:rFonts w:hint="eastAsia"/>
                <w:lang w:val="en-US"/>
              </w:rPr>
              <w:t>3</w:t>
            </w:r>
            <w:bookmarkEnd w:id="160"/>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1" w:name="冬季风速结果"/>
            <w:bookmarkEnd w:id="161"/>
            <w:bookmarkStart w:id="162" w:name="冬季风速结果2"/>
            <w:bookmarkEnd w:id="162"/>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63" w:name="冬季风速达标判定"/>
            <w:r>
              <w:rPr>
                <w:rFonts w:hint="eastAsia"/>
                <w:b/>
                <w:lang w:val="en-US"/>
              </w:rPr>
              <w:t>达标</w:t>
            </w:r>
            <w:bookmarkEnd w:id="163"/>
          </w:p>
        </w:tc>
        <w:tc>
          <w:tcPr>
            <w:tcW w:w="1416" w:type="dxa"/>
            <w:vMerge w:val="restart"/>
            <w:tcBorders>
              <w:top w:val="single" w:color="auto" w:sz="4" w:space="0"/>
            </w:tcBorders>
            <w:shd w:val="clear" w:color="auto" w:fill="auto"/>
            <w:vAlign w:val="center"/>
          </w:tcPr>
          <w:p>
            <w:pPr>
              <w:jc w:val="center"/>
              <w:rPr>
                <w:lang w:val="en-US"/>
              </w:rPr>
            </w:pPr>
            <w:bookmarkStart w:id="164" w:name="冬季风速得分"/>
            <w:r>
              <w:rPr>
                <w:rFonts w:hint="eastAsia"/>
                <w:lang w:val="en-US"/>
              </w:rPr>
              <w:t>3</w:t>
            </w:r>
            <w:bookmarkEnd w:id="16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65" w:name="冬季风速放大系数结果休息区"/>
            <w:bookmarkEnd w:id="165"/>
            <w:bookmarkStart w:id="166" w:name="冬季风速放大系数结果人行区"/>
            <w:bookmarkEnd w:id="166"/>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7" w:name="标准要求冬季风压得分"/>
            <w:r>
              <w:rPr>
                <w:rFonts w:hint="eastAsia"/>
                <w:lang w:val="en-US"/>
              </w:rPr>
              <w:t>2</w:t>
            </w:r>
            <w:bookmarkEnd w:id="16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68" w:name="冬季迎背风面结果"/>
            <w:r>
              <w:rPr>
                <w:color w:val="FF0000"/>
              </w:rPr>
              <w:t>出现</w:t>
            </w:r>
            <w:bookmarkEnd w:id="168"/>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9" w:name="冬季迎背风面达标判定"/>
            <w:r>
              <w:rPr>
                <w:rFonts w:hint="eastAsia"/>
                <w:b/>
                <w:color w:val="FF0000"/>
                <w:lang w:val="en-US"/>
              </w:rPr>
              <w:t>不达标</w:t>
            </w:r>
            <w:bookmarkEnd w:id="169"/>
          </w:p>
        </w:tc>
        <w:tc>
          <w:tcPr>
            <w:tcW w:w="1416" w:type="dxa"/>
            <w:shd w:val="clear" w:color="auto" w:fill="auto"/>
            <w:vAlign w:val="center"/>
          </w:tcPr>
          <w:p>
            <w:pPr>
              <w:jc w:val="center"/>
              <w:rPr>
                <w:lang w:val="en-US"/>
              </w:rPr>
            </w:pPr>
            <w:bookmarkStart w:id="170" w:name="冬季迎背风面得分"/>
            <w:r>
              <w:rPr>
                <w:rFonts w:hint="eastAsia"/>
                <w:lang w:val="en-US"/>
              </w:rPr>
              <w:t>0</w:t>
            </w:r>
            <w:bookmarkEnd w:id="170"/>
            <w:r>
              <w:rPr>
                <w:rFonts w:hint="eastAsia"/>
                <w:lang w:val="en-US"/>
              </w:rPr>
              <w:t>分</w:t>
            </w:r>
          </w:p>
        </w:tc>
      </w:tr>
    </w:tbl>
    <w:p>
      <w:pPr>
        <w:rPr>
          <w:szCs w:val="21"/>
          <w:lang w:val="en-US"/>
        </w:rPr>
      </w:pPr>
      <w:bookmarkStart w:id="171" w:name="_Toc509844768"/>
      <w:bookmarkEnd w:id="171"/>
      <w:bookmarkStart w:id="172" w:name="_Toc509844767"/>
      <w:bookmarkEnd w:id="172"/>
    </w:p>
    <w:bookmarkEnd w:id="0"/>
    <w:bookmarkEnd w:id="1"/>
    <w:p>
      <w:pPr>
        <w:pStyle w:val="5"/>
      </w:pPr>
      <w:bookmarkStart w:id="173" w:name="_Toc509844769"/>
      <w:bookmarkStart w:id="174" w:name="_Toc27818"/>
      <w:r>
        <w:rPr>
          <w:rFonts w:hint="eastAsia"/>
        </w:rPr>
        <w:t>过渡季、夏季工况达标判断</w:t>
      </w:r>
      <w:bookmarkEnd w:id="173"/>
      <w:bookmarkEnd w:id="174"/>
    </w:p>
    <w:p>
      <w:pPr>
        <w:pStyle w:val="3"/>
        <w:ind w:firstLine="0" w:firstLineChars="0"/>
        <w:jc w:val="center"/>
        <w:rPr>
          <w:rFonts w:ascii="黑体" w:hAnsi="黑体" w:eastAsia="黑体"/>
          <w:sz w:val="20"/>
          <w:szCs w:val="20"/>
        </w:rPr>
      </w:pP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5" w:name="标准要求夏季风速得分"/>
            <w:r>
              <w:rPr>
                <w:rFonts w:hint="eastAsia"/>
                <w:lang w:val="en-US"/>
              </w:rPr>
              <w:t>3</w:t>
            </w:r>
            <w:bookmarkEnd w:id="175"/>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76" w:name="夏季无风区结果"/>
            <w:r>
              <w:t>没有</w:t>
            </w:r>
            <w:bookmarkEnd w:id="176"/>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77" w:name="夏季无风区达标判定"/>
            <w:r>
              <w:rPr>
                <w:rFonts w:hint="eastAsia"/>
                <w:b/>
                <w:lang w:val="en-US"/>
              </w:rPr>
              <w:t>达标</w:t>
            </w:r>
            <w:bookmarkEnd w:id="177"/>
          </w:p>
        </w:tc>
        <w:tc>
          <w:tcPr>
            <w:tcW w:w="1416" w:type="dxa"/>
            <w:vMerge w:val="restart"/>
            <w:tcBorders>
              <w:top w:val="single" w:color="auto" w:sz="4" w:space="0"/>
            </w:tcBorders>
            <w:shd w:val="clear" w:color="auto" w:fill="auto"/>
            <w:vAlign w:val="center"/>
          </w:tcPr>
          <w:p>
            <w:pPr>
              <w:jc w:val="center"/>
              <w:rPr>
                <w:lang w:val="en-US"/>
              </w:rPr>
            </w:pPr>
            <w:bookmarkStart w:id="178" w:name="夏季无风区得分"/>
            <w:r>
              <w:rPr>
                <w:rFonts w:hint="eastAsia"/>
                <w:lang w:val="en-US"/>
              </w:rPr>
              <w:t>3</w:t>
            </w:r>
            <w:bookmarkEnd w:id="178"/>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9" w:name="标准要求夏季风压得分"/>
            <w:r>
              <w:rPr>
                <w:rFonts w:hint="eastAsia"/>
                <w:lang w:val="en-US"/>
              </w:rPr>
              <w:t>2</w:t>
            </w:r>
            <w:bookmarkEnd w:id="179"/>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0" w:name="夏季窗内外风压差结果"/>
            <w:r>
              <w:rPr>
                <w:rFonts w:hint="eastAsia"/>
                <w:color w:val="FF0000"/>
                <w:lang w:val="en-US"/>
              </w:rPr>
              <w:t>不满足</w:t>
            </w:r>
            <w:bookmarkEnd w:id="180"/>
            <w:r>
              <w:rPr>
                <w:rFonts w:hint="eastAsia"/>
                <w:lang w:val="en-US"/>
              </w:rPr>
              <w:t>标准要求</w:t>
            </w:r>
          </w:p>
        </w:tc>
        <w:tc>
          <w:tcPr>
            <w:tcW w:w="1844" w:type="dxa"/>
            <w:shd w:val="clear" w:color="auto" w:fill="auto"/>
            <w:vAlign w:val="center"/>
          </w:tcPr>
          <w:p>
            <w:pPr>
              <w:jc w:val="center"/>
              <w:rPr>
                <w:b/>
                <w:lang w:val="en-US"/>
              </w:rPr>
            </w:pPr>
            <w:bookmarkStart w:id="181" w:name="夏季窗内外风压差达标判定"/>
            <w:r>
              <w:rPr>
                <w:rFonts w:hint="eastAsia"/>
                <w:b/>
                <w:color w:val="FF0000"/>
                <w:lang w:val="en-US"/>
              </w:rPr>
              <w:t>不达标</w:t>
            </w:r>
            <w:bookmarkEnd w:id="181"/>
          </w:p>
        </w:tc>
        <w:tc>
          <w:tcPr>
            <w:tcW w:w="1416" w:type="dxa"/>
            <w:shd w:val="clear" w:color="auto" w:fill="auto"/>
            <w:vAlign w:val="center"/>
          </w:tcPr>
          <w:p>
            <w:pPr>
              <w:jc w:val="center"/>
              <w:rPr>
                <w:lang w:val="en-US"/>
              </w:rPr>
            </w:pPr>
            <w:bookmarkStart w:id="182" w:name="夏季窗内外风压差得分"/>
            <w:r>
              <w:rPr>
                <w:rFonts w:hint="eastAsia"/>
                <w:lang w:val="en-US"/>
              </w:rPr>
              <w:t>0</w:t>
            </w:r>
            <w:bookmarkEnd w:id="18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3" w:name="总得分"/>
      <w:r>
        <w:rPr>
          <w:rFonts w:hint="eastAsia"/>
          <w:lang w:val="en-US"/>
        </w:rPr>
        <w:t>6</w:t>
      </w:r>
      <w:bookmarkEnd w:id="18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jExMTkwNGRmMjRhNmNiN2Y0YzFhYjNkZTQzZWFhNDcifQ=="/>
  </w:docVars>
  <w:rsids>
    <w:rsidRoot w:val="00217F62"/>
    <w:rsid w:val="001915A3"/>
    <w:rsid w:val="00217F62"/>
    <w:rsid w:val="00A906D8"/>
    <w:rsid w:val="00AB5A74"/>
    <w:rsid w:val="00F071AE"/>
    <w:rsid w:val="1FBC44E9"/>
    <w:rsid w:val="35EC5F7D"/>
    <w:rsid w:val="5A2550BF"/>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2" Type="http://schemas.openxmlformats.org/officeDocument/2006/relationships/fontTable" Target="fontTable.xml"/><Relationship Id="rId71" Type="http://schemas.openxmlformats.org/officeDocument/2006/relationships/customXml" Target="../customXml/item1.xml"/><Relationship Id="rId70" Type="http://schemas.openxmlformats.org/officeDocument/2006/relationships/numbering" Target="numbering.xml"/><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png"/><Relationship Id="rId66" Type="http://schemas.openxmlformats.org/officeDocument/2006/relationships/image" Target="media/image52.wmf"/><Relationship Id="rId65" Type="http://schemas.openxmlformats.org/officeDocument/2006/relationships/oleObject" Target="embeddings/oleObject7.bin"/><Relationship Id="rId64" Type="http://schemas.openxmlformats.org/officeDocument/2006/relationships/image" Target="media/image51.wmf"/><Relationship Id="rId63" Type="http://schemas.openxmlformats.org/officeDocument/2006/relationships/oleObject" Target="embeddings/oleObject6.bin"/><Relationship Id="rId62" Type="http://schemas.openxmlformats.org/officeDocument/2006/relationships/image" Target="media/image50.wmf"/><Relationship Id="rId61" Type="http://schemas.openxmlformats.org/officeDocument/2006/relationships/oleObject" Target="embeddings/oleObject5.bin"/><Relationship Id="rId60" Type="http://schemas.openxmlformats.org/officeDocument/2006/relationships/image" Target="media/image49.wmf"/><Relationship Id="rId6" Type="http://schemas.openxmlformats.org/officeDocument/2006/relationships/footer" Target="footer1.xml"/><Relationship Id="rId59" Type="http://schemas.openxmlformats.org/officeDocument/2006/relationships/oleObject" Target="embeddings/oleObject4.bin"/><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3.bin"/><Relationship Id="rId16" Type="http://schemas.openxmlformats.org/officeDocument/2006/relationships/image" Target="media/image7.wmf"/><Relationship Id="rId15" Type="http://schemas.openxmlformats.org/officeDocument/2006/relationships/oleObject" Target="embeddings/oleObject2.bin"/><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B5A5A-A15E-4891-83EF-ED935B9A5C06}">
  <ds:schemaRefs/>
</ds:datastoreItem>
</file>

<file path=docProps/app.xml><?xml version="1.0" encoding="utf-8"?>
<Properties xmlns="http://schemas.openxmlformats.org/officeDocument/2006/extended-properties" xmlns:vt="http://schemas.openxmlformats.org/officeDocument/2006/docPropsVTypes">
  <Template>国标2019室外风环境模拟分析报告.dotx</Template>
  <Company>ths</Company>
  <Pages>22</Pages>
  <Words>6518</Words>
  <Characters>7688</Characters>
  <Lines>41</Lines>
  <Paragraphs>11</Paragraphs>
  <TotalTime>1</TotalTime>
  <ScaleCrop>false</ScaleCrop>
  <LinksUpToDate>false</LinksUpToDate>
  <CharactersWithSpaces>7958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2021-01-26T08:44:00Z</dcterms:created>
  <dc:creator>sware</dc:creator>
  <cp:lastModifiedBy>lenovo</cp:lastModifiedBy>
  <cp:lastPrinted>1900-12-31T16:00:00Z</cp:lastPrinted>
  <dcterms:modified xsi:type="dcterms:W3CDTF">2023-02-27T10:32:08Z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54F11978DD4842C1B062FA0737A5F148</vt:lpwstr>
  </property>
</Properties>
</file>