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jc w:val="center"/>
        <w:rPr>
          <w:rFonts w:hint="eastAsia"/>
          <w:w w:val="100"/>
          <w:sz w:val="44"/>
          <w:szCs w:val="44"/>
          <w:lang w:val="en-US" w:eastAsia="zh-CN"/>
        </w:rPr>
      </w:pPr>
      <w:bookmarkStart w:id="0" w:name="_Toc7280"/>
      <w:bookmarkStart w:id="1" w:name="_Toc78943308"/>
      <w:bookmarkStart w:id="2" w:name="_Toc74372011"/>
      <w:bookmarkStart w:id="3" w:name="_Toc74342095"/>
      <w:bookmarkStart w:id="4" w:name="_Toc80786416"/>
      <w:bookmarkStart w:id="5" w:name="_Toc80787024"/>
      <w:bookmarkStart w:id="6" w:name="_Toc87588280"/>
      <w:bookmarkStart w:id="7" w:name="_Toc433196207"/>
      <w:bookmarkStart w:id="8" w:name="_Toc80786640"/>
      <w:bookmarkStart w:id="9" w:name="_Toc74342362"/>
      <w:bookmarkStart w:id="10" w:name="_Toc73968998"/>
      <w:bookmarkStart w:id="11" w:name="_Toc80786838"/>
      <w:bookmarkStart w:id="12" w:name="_Toc20381"/>
      <w:bookmarkStart w:id="13" w:name="_Toc82945926"/>
      <w:bookmarkStart w:id="14" w:name="_Toc82956199"/>
      <w:bookmarkStart w:id="15" w:name="_Toc74372946"/>
      <w:bookmarkStart w:id="16" w:name="_Toc82958399"/>
      <w:bookmarkStart w:id="17" w:name="_Toc82917170"/>
      <w:bookmarkStart w:id="18" w:name="_Toc80786739"/>
      <w:bookmarkStart w:id="19" w:name="_Toc82957955"/>
    </w:p>
    <w:p>
      <w:pPr>
        <w:pStyle w:val="2"/>
        <w:numPr>
          <w:numId w:val="0"/>
        </w:numPr>
        <w:jc w:val="center"/>
        <w:rPr>
          <w:rFonts w:hint="eastAsia"/>
          <w:w w:val="100"/>
          <w:sz w:val="44"/>
          <w:szCs w:val="44"/>
          <w:lang w:val="en-US" w:eastAsia="zh-CN"/>
        </w:rPr>
      </w:pPr>
      <w:r>
        <w:rPr>
          <w:rFonts w:hint="eastAsia"/>
          <w:w w:val="100"/>
          <w:sz w:val="44"/>
          <w:szCs w:val="44"/>
          <w:lang w:val="en-US" w:eastAsia="zh-CN"/>
        </w:rPr>
        <w:t>施工记录文件</w:t>
      </w:r>
    </w:p>
    <w:p>
      <w:pPr>
        <w:rPr>
          <w:rFonts w:hint="eastAsia"/>
          <w:lang w:val="en-US" w:eastAsia="zh-CN"/>
        </w:rPr>
      </w:pPr>
      <w:bookmarkStart w:id="515" w:name="_GoBack"/>
      <w:bookmarkEnd w:id="515"/>
    </w:p>
    <w:p>
      <w:pPr>
        <w:pStyle w:val="2"/>
        <w:numPr>
          <w:ilvl w:val="0"/>
          <w:numId w:val="1"/>
        </w:numPr>
        <w:rPr>
          <w:w w:val="100"/>
          <w:sz w:val="36"/>
          <w:szCs w:val="32"/>
        </w:rPr>
      </w:pPr>
      <w:r>
        <w:rPr>
          <w:w w:val="100"/>
          <w:sz w:val="36"/>
          <w:szCs w:val="32"/>
        </w:rPr>
        <w:t>项目控制目标</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0"/>
          <w:numId w:val="0"/>
        </w:numPr>
      </w:pPr>
    </w:p>
    <w:p>
      <w:pPr>
        <w:pStyle w:val="3"/>
      </w:pPr>
      <w:bookmarkStart w:id="20" w:name="_Toc5729"/>
      <w:bookmarkStart w:id="21" w:name="_Toc82945927"/>
      <w:bookmarkStart w:id="22" w:name="_Toc82958400"/>
      <w:bookmarkStart w:id="23" w:name="_Toc80786417"/>
      <w:bookmarkStart w:id="24" w:name="_Toc74342096"/>
      <w:bookmarkStart w:id="25" w:name="_Toc80786839"/>
      <w:bookmarkStart w:id="26" w:name="_Toc78943309"/>
      <w:bookmarkStart w:id="27" w:name="_Toc433196208"/>
      <w:bookmarkStart w:id="28" w:name="_Toc80786740"/>
      <w:bookmarkStart w:id="29" w:name="_Toc898"/>
      <w:bookmarkStart w:id="30" w:name="_Toc82957956"/>
      <w:bookmarkStart w:id="31" w:name="_Toc74372012"/>
      <w:bookmarkStart w:id="32" w:name="_Toc82956200"/>
      <w:bookmarkStart w:id="33" w:name="_Toc87588281"/>
      <w:bookmarkStart w:id="34" w:name="_Toc73968999"/>
      <w:bookmarkStart w:id="35" w:name="_Toc74372947"/>
      <w:bookmarkStart w:id="36" w:name="_Toc80786641"/>
      <w:bookmarkStart w:id="37" w:name="_Toc74342363"/>
      <w:bookmarkStart w:id="38" w:name="_Toc82917171"/>
      <w:bookmarkStart w:id="39" w:name="_Toc80787025"/>
      <w:r>
        <w:t>1.1：质量目标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widowControl w:val="0"/>
        <w:numPr>
          <w:ilvl w:val="0"/>
          <w:numId w:val="2"/>
        </w:numPr>
        <w:spacing w:before="60" w:line="400" w:lineRule="exact"/>
        <w:jc w:val="both"/>
        <w:rPr>
          <w:rFonts w:eastAsia="宋体"/>
          <w:sz w:val="28"/>
          <w:szCs w:val="28"/>
        </w:rPr>
      </w:pPr>
      <w:r>
        <w:rPr>
          <w:rFonts w:eastAsia="宋体"/>
          <w:sz w:val="28"/>
          <w:szCs w:val="28"/>
        </w:rPr>
        <w:t>满足国家现行建筑施工质量验收标准规定的合格标准。</w:t>
      </w:r>
    </w:p>
    <w:p>
      <w:pPr>
        <w:widowControl w:val="0"/>
        <w:numPr>
          <w:ilvl w:val="0"/>
          <w:numId w:val="2"/>
        </w:numPr>
        <w:spacing w:before="60" w:line="400" w:lineRule="exact"/>
        <w:jc w:val="both"/>
        <w:rPr>
          <w:rFonts w:eastAsia="宋体"/>
          <w:sz w:val="28"/>
          <w:szCs w:val="28"/>
        </w:rPr>
      </w:pPr>
      <w:r>
        <w:rPr>
          <w:rFonts w:eastAsia="宋体"/>
          <w:bCs/>
          <w:sz w:val="28"/>
          <w:szCs w:val="28"/>
        </w:rPr>
        <w:t>确保 省优“长白山杯”工程。</w:t>
      </w:r>
    </w:p>
    <w:p>
      <w:pPr>
        <w:pStyle w:val="3"/>
      </w:pPr>
      <w:bookmarkStart w:id="40" w:name="_Toc80786643"/>
      <w:bookmarkStart w:id="41" w:name="_Toc82958402"/>
      <w:bookmarkStart w:id="42" w:name="_Toc74342098"/>
      <w:bookmarkStart w:id="43" w:name="_Toc80787027"/>
      <w:bookmarkStart w:id="44" w:name="_Toc74372949"/>
      <w:bookmarkStart w:id="45" w:name="_Toc73969001"/>
      <w:bookmarkStart w:id="46" w:name="_Toc433196209"/>
      <w:bookmarkStart w:id="47" w:name="_Toc82945929"/>
      <w:bookmarkStart w:id="48" w:name="_Toc82956202"/>
      <w:bookmarkStart w:id="49" w:name="_Toc78943311"/>
      <w:bookmarkStart w:id="50" w:name="_Toc82957958"/>
      <w:bookmarkStart w:id="51" w:name="_Toc87588283"/>
      <w:bookmarkStart w:id="52" w:name="_Toc82917173"/>
      <w:bookmarkStart w:id="53" w:name="_Toc80786419"/>
      <w:bookmarkStart w:id="54" w:name="_Toc74372014"/>
      <w:bookmarkStart w:id="55" w:name="_Toc80786841"/>
      <w:bookmarkStart w:id="56" w:name="_Toc80786742"/>
      <w:bookmarkStart w:id="57" w:name="_Toc9493"/>
      <w:bookmarkStart w:id="58" w:name="_Toc74342365"/>
      <w:bookmarkStart w:id="59" w:name="_Toc20670"/>
      <w:r>
        <w:t>1.2：安全目标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widowControl w:val="0"/>
        <w:spacing w:before="60" w:line="400" w:lineRule="exact"/>
        <w:ind w:left="566" w:leftChars="177" w:firstLine="560" w:firstLineChars="200"/>
        <w:jc w:val="both"/>
        <w:rPr>
          <w:rFonts w:eastAsia="宋体"/>
          <w:sz w:val="28"/>
          <w:szCs w:val="28"/>
        </w:rPr>
      </w:pPr>
      <w:r>
        <w:rPr>
          <w:rFonts w:eastAsia="宋体"/>
          <w:sz w:val="28"/>
          <w:szCs w:val="28"/>
        </w:rPr>
        <w:t>贯彻GB/T28001-2011职业安全卫生管理体系，杜绝重伤和死亡事故，一般事故频率控制在</w:t>
      </w:r>
      <w:r>
        <w:rPr>
          <w:rFonts w:eastAsia="宋体"/>
          <w:bCs/>
          <w:sz w:val="28"/>
          <w:szCs w:val="28"/>
        </w:rPr>
        <w:t>3.0‰</w:t>
      </w:r>
      <w:r>
        <w:rPr>
          <w:rFonts w:eastAsia="宋体"/>
          <w:sz w:val="28"/>
          <w:szCs w:val="28"/>
        </w:rPr>
        <w:t>以内。</w:t>
      </w:r>
    </w:p>
    <w:p>
      <w:pPr>
        <w:pStyle w:val="3"/>
      </w:pPr>
      <w:bookmarkStart w:id="60" w:name="_Toc74372015"/>
      <w:bookmarkStart w:id="61" w:name="_Toc82958403"/>
      <w:bookmarkStart w:id="62" w:name="_Toc29577"/>
      <w:bookmarkStart w:id="63" w:name="_Toc82945930"/>
      <w:bookmarkStart w:id="64" w:name="_Toc80786644"/>
      <w:bookmarkStart w:id="65" w:name="_Toc87588284"/>
      <w:bookmarkStart w:id="66" w:name="_Toc82956203"/>
      <w:bookmarkStart w:id="67" w:name="_Toc82957959"/>
      <w:bookmarkStart w:id="68" w:name="_Toc433196210"/>
      <w:bookmarkStart w:id="69" w:name="_Toc82917174"/>
      <w:bookmarkStart w:id="70" w:name="_Toc74342099"/>
      <w:bookmarkStart w:id="71" w:name="_Toc80786743"/>
      <w:bookmarkStart w:id="72" w:name="_Toc74342366"/>
      <w:bookmarkStart w:id="73" w:name="_Toc80786420"/>
      <w:bookmarkStart w:id="74" w:name="_Toc73969002"/>
      <w:bookmarkStart w:id="75" w:name="_Toc74372950"/>
      <w:bookmarkStart w:id="76" w:name="_Toc80787028"/>
      <w:bookmarkStart w:id="77" w:name="_Toc21582"/>
      <w:bookmarkStart w:id="78" w:name="_Toc80786842"/>
      <w:bookmarkStart w:id="79" w:name="_Toc78943312"/>
      <w:r>
        <w:t>1.3：经济目标</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val="0"/>
        <w:numPr>
          <w:ilvl w:val="0"/>
          <w:numId w:val="3"/>
        </w:numPr>
        <w:spacing w:before="60" w:line="400" w:lineRule="exact"/>
        <w:jc w:val="both"/>
        <w:rPr>
          <w:rFonts w:eastAsia="宋体"/>
          <w:sz w:val="28"/>
          <w:szCs w:val="28"/>
        </w:rPr>
      </w:pPr>
      <w:r>
        <w:rPr>
          <w:rFonts w:eastAsia="宋体"/>
          <w:sz w:val="28"/>
          <w:szCs w:val="28"/>
        </w:rPr>
        <w:t>科学管理，严格控制，避免浪费，合理降低施工成本；</w:t>
      </w:r>
    </w:p>
    <w:p>
      <w:pPr>
        <w:widowControl w:val="0"/>
        <w:numPr>
          <w:ilvl w:val="0"/>
          <w:numId w:val="3"/>
        </w:numPr>
        <w:spacing w:before="60" w:line="400" w:lineRule="exact"/>
        <w:jc w:val="both"/>
        <w:rPr>
          <w:rFonts w:eastAsia="宋体"/>
          <w:sz w:val="28"/>
          <w:szCs w:val="28"/>
        </w:rPr>
      </w:pPr>
      <w:r>
        <w:rPr>
          <w:rFonts w:eastAsia="宋体"/>
          <w:sz w:val="28"/>
          <w:szCs w:val="28"/>
        </w:rPr>
        <w:t>科技进步效益率不小于</w:t>
      </w:r>
      <w:r>
        <w:rPr>
          <w:rFonts w:eastAsia="宋体"/>
          <w:bCs/>
          <w:sz w:val="28"/>
          <w:szCs w:val="28"/>
        </w:rPr>
        <w:t>1.8%</w:t>
      </w:r>
      <w:r>
        <w:rPr>
          <w:rFonts w:eastAsia="宋体"/>
          <w:sz w:val="28"/>
          <w:szCs w:val="28"/>
        </w:rPr>
        <w:t>。</w:t>
      </w:r>
    </w:p>
    <w:p>
      <w:pPr>
        <w:pStyle w:val="3"/>
      </w:pPr>
      <w:bookmarkStart w:id="80" w:name="_Toc74342367"/>
      <w:bookmarkStart w:id="81" w:name="_Toc78943313"/>
      <w:bookmarkStart w:id="82" w:name="_Toc82958404"/>
      <w:bookmarkStart w:id="83" w:name="_Toc80787029"/>
      <w:bookmarkStart w:id="84" w:name="_Toc30261"/>
      <w:bookmarkStart w:id="85" w:name="_Toc74372016"/>
      <w:bookmarkStart w:id="86" w:name="_Toc80786645"/>
      <w:bookmarkStart w:id="87" w:name="_Toc74372951"/>
      <w:bookmarkStart w:id="88" w:name="_Toc433196211"/>
      <w:bookmarkStart w:id="89" w:name="_Toc82917175"/>
      <w:bookmarkStart w:id="90" w:name="_Toc87588285"/>
      <w:bookmarkStart w:id="91" w:name="_Toc80786843"/>
      <w:bookmarkStart w:id="92" w:name="_Toc26554"/>
      <w:bookmarkStart w:id="93" w:name="_Toc82957960"/>
      <w:bookmarkStart w:id="94" w:name="_Toc80786421"/>
      <w:bookmarkStart w:id="95" w:name="_Toc73969003"/>
      <w:bookmarkStart w:id="96" w:name="_Toc74342100"/>
      <w:bookmarkStart w:id="97" w:name="_Toc82956204"/>
      <w:bookmarkStart w:id="98" w:name="_Toc80786744"/>
      <w:bookmarkStart w:id="99" w:name="_Toc82945931"/>
      <w:r>
        <w:t>1.4：绿色施工目标</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val="0"/>
        <w:numPr>
          <w:ilvl w:val="0"/>
          <w:numId w:val="4"/>
        </w:numPr>
        <w:spacing w:before="60" w:line="400" w:lineRule="exact"/>
        <w:jc w:val="both"/>
        <w:rPr>
          <w:rFonts w:eastAsia="宋体"/>
          <w:sz w:val="28"/>
          <w:szCs w:val="28"/>
        </w:rPr>
      </w:pPr>
      <w:r>
        <w:rPr>
          <w:rFonts w:eastAsia="宋体"/>
          <w:kern w:val="2"/>
          <w:sz w:val="28"/>
          <w:szCs w:val="28"/>
        </w:rPr>
        <w:t>实施“</w:t>
      </w:r>
      <w:r>
        <w:rPr>
          <w:rFonts w:eastAsia="宋体"/>
          <w:iCs/>
          <w:kern w:val="2"/>
          <w:sz w:val="28"/>
          <w:szCs w:val="28"/>
        </w:rPr>
        <w:t>五化</w:t>
      </w:r>
      <w:r>
        <w:rPr>
          <w:rFonts w:eastAsia="宋体"/>
          <w:kern w:val="2"/>
          <w:sz w:val="28"/>
          <w:szCs w:val="28"/>
        </w:rPr>
        <w:t>”（硬化、净化、绿化、亮化、美化）方略，创长春市安全文明施工“环保工地”，争创“国家三A级文明工地”</w:t>
      </w:r>
      <w:r>
        <w:rPr>
          <w:rFonts w:eastAsia="宋体"/>
          <w:sz w:val="28"/>
          <w:szCs w:val="28"/>
        </w:rPr>
        <w:t>；</w:t>
      </w:r>
    </w:p>
    <w:p>
      <w:pPr>
        <w:widowControl w:val="0"/>
        <w:numPr>
          <w:ilvl w:val="0"/>
          <w:numId w:val="4"/>
        </w:numPr>
        <w:spacing w:before="60" w:line="400" w:lineRule="exact"/>
        <w:jc w:val="both"/>
        <w:rPr>
          <w:rFonts w:eastAsia="宋体"/>
          <w:sz w:val="28"/>
          <w:szCs w:val="28"/>
        </w:rPr>
      </w:pPr>
      <w:r>
        <w:rPr>
          <w:rFonts w:eastAsia="宋体"/>
          <w:sz w:val="28"/>
          <w:szCs w:val="28"/>
        </w:rPr>
        <w:t>贯彻实施“四节一环保”绿色施工理念，创建绿色施工达标工地。</w:t>
      </w:r>
    </w:p>
    <w:p>
      <w:pPr>
        <w:pStyle w:val="2"/>
        <w:numPr>
          <w:ilvl w:val="0"/>
          <w:numId w:val="1"/>
        </w:numPr>
        <w:rPr>
          <w:w w:val="100"/>
          <w:sz w:val="36"/>
          <w:szCs w:val="32"/>
        </w:rPr>
      </w:pPr>
      <w:r>
        <w:rPr>
          <w:w w:val="100"/>
          <w:sz w:val="36"/>
          <w:szCs w:val="32"/>
        </w:rPr>
        <w:t>施工组织设计编制依据</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长春净月潭国家级风景名胜区立体停车库工程招标文件、施工图纸；</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长春净月潭国家级风景名胜区立体停车库图纸会审纪要；</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长春市规划院导测高程点；</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长春市建工工程勘测有限公司提供的《岩土工程勘察报告》，该工程施工现场场地情况；</w:t>
      </w:r>
    </w:p>
    <w:p>
      <w:pPr>
        <w:widowControl w:val="0"/>
        <w:tabs>
          <w:tab w:val="left" w:pos="1134"/>
        </w:tabs>
        <w:spacing w:before="60" w:line="400" w:lineRule="exact"/>
        <w:ind w:left="243" w:leftChars="76"/>
        <w:jc w:val="both"/>
        <w:rPr>
          <w:rFonts w:eastAsia="宋体"/>
          <w:sz w:val="28"/>
          <w:szCs w:val="28"/>
        </w:rPr>
      </w:pPr>
      <w:r>
        <w:rPr>
          <w:rFonts w:eastAsia="宋体"/>
          <w:sz w:val="28"/>
          <w:szCs w:val="28"/>
        </w:rPr>
        <w:t>国家及吉林省对于建筑工程施工及验收有关标准、规范及安全生产的有关规范和要求；</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59"/>
        <w:gridCol w:w="4399"/>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both"/>
              <w:rPr>
                <w:rFonts w:eastAsia="宋体"/>
                <w:sz w:val="28"/>
                <w:szCs w:val="28"/>
              </w:rPr>
            </w:pPr>
            <w:r>
              <w:rPr>
                <w:rFonts w:eastAsia="宋体"/>
                <w:sz w:val="28"/>
                <w:szCs w:val="28"/>
              </w:rPr>
              <w:t>序号</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类别</w:t>
            </w:r>
          </w:p>
        </w:tc>
        <w:tc>
          <w:tcPr>
            <w:tcW w:w="4399" w:type="dxa"/>
            <w:noWrap w:val="0"/>
            <w:vAlign w:val="top"/>
          </w:tcPr>
          <w:p>
            <w:pPr>
              <w:widowControl w:val="0"/>
              <w:spacing w:before="60" w:line="400" w:lineRule="exact"/>
              <w:ind w:left="1376"/>
              <w:jc w:val="both"/>
              <w:rPr>
                <w:rFonts w:eastAsia="宋体"/>
                <w:sz w:val="28"/>
                <w:szCs w:val="28"/>
              </w:rPr>
            </w:pPr>
            <w:r>
              <w:rPr>
                <w:rFonts w:eastAsia="宋体"/>
                <w:sz w:val="28"/>
                <w:szCs w:val="28"/>
              </w:rPr>
              <w:t>名称</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钢筋焊接及验收规程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JGJ18-2012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钢筋焊接接头试验方法标准</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JGJ/T27-2001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3</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焊接材料焊接工艺性能评定方法</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GB/T25776-2010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4</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钢筋机械连接技术规程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JGJ107-2010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5</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建筑变形测量规程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6</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工程测量规范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GB50026-2007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7</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地基与基础工程施工及验收规范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GB50202-2002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8</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建筑材料见证取样检测标准</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DB22/T1035-2011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9</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建设工程项目管理规范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GB/T50326-2006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10</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砌体结构工程施工质量验收规范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GB50203-2011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11</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砌体工程现场检测技术标准</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GB/T50315-2011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12</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水泥取样方法</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GB12573-2008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13</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行业</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清水混凝土应用技术规程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JGJ169-2009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14</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混凝土质量控制标准</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GB50164-2011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15</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混凝土强度检验评定标准</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GB/T50107-2010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16</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回弹法检测混凝土抗压强度技术规程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JGJ/T23-2011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17</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建筑装饰装修工程质量验收规范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GB50210-20</w:t>
            </w:r>
            <w:r>
              <w:rPr>
                <w:rFonts w:hint="eastAsia" w:eastAsia="宋体"/>
                <w:sz w:val="28"/>
                <w:szCs w:val="28"/>
              </w:rPr>
              <w:t>0</w:t>
            </w:r>
            <w:r>
              <w:rPr>
                <w:rFonts w:eastAsia="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18</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住宅装饰装修工程施工规范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GB50327-2001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19</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建筑地面工程施工质量验收规范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GB50209-2010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20</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建筑门窗工程检测技术规程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JGJ/T205-2010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21</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地下工程防水技术规范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GB50108-2008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22</w:t>
            </w:r>
          </w:p>
        </w:tc>
        <w:tc>
          <w:tcPr>
            <w:tcW w:w="959" w:type="dxa"/>
            <w:noWrap w:val="0"/>
            <w:vAlign w:val="top"/>
          </w:tcPr>
          <w:p>
            <w:pPr>
              <w:pStyle w:val="6"/>
              <w:spacing w:line="440" w:lineRule="exact"/>
              <w:jc w:val="left"/>
              <w:rPr>
                <w:rFonts w:eastAsia="宋体"/>
                <w:b w:val="0"/>
                <w:spacing w:val="-20"/>
                <w:sz w:val="28"/>
                <w:szCs w:val="28"/>
              </w:rPr>
            </w:pPr>
            <w:r>
              <w:rPr>
                <w:rFonts w:eastAsia="宋体"/>
                <w:b w:val="0"/>
                <w:spacing w:val="-20"/>
                <w:sz w:val="28"/>
                <w:szCs w:val="28"/>
              </w:rPr>
              <w:t>吉林省</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CPS-CL反应粘结型卷材防水构造</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吉J2011-256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23</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抹灰砂浆技术规程</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JGJ/T220-2010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24</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建筑节能工程施工质量验收规范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GB50411-2007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25</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建筑抗震设计规范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GB50011-2010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26</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屋面工程质量验收规范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GB50207-2012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27</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屋面工程技术规范</w:t>
            </w:r>
          </w:p>
        </w:tc>
        <w:tc>
          <w:tcPr>
            <w:tcW w:w="2059" w:type="dxa"/>
            <w:noWrap w:val="0"/>
            <w:vAlign w:val="top"/>
          </w:tcPr>
          <w:p>
            <w:pPr>
              <w:widowControl w:val="0"/>
              <w:spacing w:before="60" w:line="400" w:lineRule="exact"/>
              <w:jc w:val="both"/>
              <w:rPr>
                <w:rFonts w:eastAsia="宋体"/>
                <w:sz w:val="28"/>
                <w:szCs w:val="28"/>
              </w:rPr>
            </w:pPr>
            <w:r>
              <w:rPr>
                <w:rFonts w:eastAsia="宋体"/>
                <w:sz w:val="28"/>
                <w:szCs w:val="28"/>
              </w:rPr>
              <w:t>GB50345-2012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28</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通风与空调工程施工质量验收规范</w:t>
            </w:r>
          </w:p>
        </w:tc>
        <w:tc>
          <w:tcPr>
            <w:tcW w:w="2059" w:type="dxa"/>
            <w:noWrap w:val="0"/>
            <w:vAlign w:val="top"/>
          </w:tcPr>
          <w:p>
            <w:pPr>
              <w:pStyle w:val="10"/>
              <w:spacing w:line="440" w:lineRule="exact"/>
              <w:rPr>
                <w:rFonts w:ascii="Times New Roman" w:cs="Times New Roman"/>
                <w:color w:val="auto"/>
                <w:sz w:val="28"/>
                <w:szCs w:val="28"/>
              </w:rPr>
            </w:pPr>
            <w:r>
              <w:rPr>
                <w:rFonts w:ascii="Times New Roman" w:cs="Times New Roman"/>
                <w:color w:val="auto"/>
                <w:sz w:val="28"/>
                <w:szCs w:val="28"/>
              </w:rPr>
              <w:t>GB50243－2002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29</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行业</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门式刚架轻型房屋钢结构技术规程</w:t>
            </w:r>
          </w:p>
        </w:tc>
        <w:tc>
          <w:tcPr>
            <w:tcW w:w="2059" w:type="dxa"/>
            <w:noWrap w:val="0"/>
            <w:vAlign w:val="top"/>
          </w:tcPr>
          <w:p>
            <w:pPr>
              <w:pStyle w:val="10"/>
              <w:spacing w:line="440" w:lineRule="exact"/>
              <w:rPr>
                <w:rFonts w:ascii="Times New Roman" w:cs="Times New Roman"/>
                <w:color w:val="auto"/>
                <w:sz w:val="28"/>
                <w:szCs w:val="28"/>
              </w:rPr>
            </w:pPr>
            <w:r>
              <w:rPr>
                <w:rFonts w:ascii="Times New Roman" w:cs="Times New Roman"/>
                <w:color w:val="auto"/>
                <w:sz w:val="28"/>
                <w:szCs w:val="28"/>
              </w:rPr>
              <w:t>CECS102:2002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30</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国家</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钢结构工程施工质量验收规范</w:t>
            </w:r>
          </w:p>
        </w:tc>
        <w:tc>
          <w:tcPr>
            <w:tcW w:w="2059" w:type="dxa"/>
            <w:noWrap w:val="0"/>
            <w:vAlign w:val="top"/>
          </w:tcPr>
          <w:p>
            <w:pPr>
              <w:pStyle w:val="10"/>
              <w:spacing w:line="440" w:lineRule="exact"/>
              <w:rPr>
                <w:rFonts w:ascii="Times New Roman" w:cs="Times New Roman"/>
                <w:color w:val="auto"/>
                <w:sz w:val="28"/>
                <w:szCs w:val="28"/>
              </w:rPr>
            </w:pPr>
            <w:r>
              <w:rPr>
                <w:rFonts w:ascii="Times New Roman" w:cs="Times New Roman"/>
                <w:color w:val="auto"/>
                <w:sz w:val="28"/>
                <w:szCs w:val="28"/>
              </w:rPr>
              <w:t>GB50205-2001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top"/>
          </w:tcPr>
          <w:p>
            <w:pPr>
              <w:widowControl w:val="0"/>
              <w:spacing w:before="60" w:line="400" w:lineRule="exact"/>
              <w:jc w:val="center"/>
              <w:rPr>
                <w:rFonts w:eastAsia="宋体"/>
                <w:sz w:val="28"/>
                <w:szCs w:val="28"/>
              </w:rPr>
            </w:pPr>
            <w:r>
              <w:rPr>
                <w:rFonts w:eastAsia="宋体"/>
                <w:sz w:val="28"/>
                <w:szCs w:val="28"/>
              </w:rPr>
              <w:t>31</w:t>
            </w:r>
          </w:p>
        </w:tc>
        <w:tc>
          <w:tcPr>
            <w:tcW w:w="959" w:type="dxa"/>
            <w:noWrap w:val="0"/>
            <w:vAlign w:val="top"/>
          </w:tcPr>
          <w:p>
            <w:pPr>
              <w:widowControl w:val="0"/>
              <w:spacing w:before="60" w:line="400" w:lineRule="exact"/>
              <w:jc w:val="both"/>
              <w:rPr>
                <w:rFonts w:eastAsia="宋体"/>
                <w:sz w:val="28"/>
                <w:szCs w:val="28"/>
              </w:rPr>
            </w:pPr>
            <w:r>
              <w:rPr>
                <w:rFonts w:eastAsia="宋体"/>
                <w:sz w:val="28"/>
                <w:szCs w:val="28"/>
              </w:rPr>
              <w:t>行业</w:t>
            </w:r>
          </w:p>
        </w:tc>
        <w:tc>
          <w:tcPr>
            <w:tcW w:w="4399" w:type="dxa"/>
            <w:noWrap w:val="0"/>
            <w:vAlign w:val="top"/>
          </w:tcPr>
          <w:p>
            <w:pPr>
              <w:widowControl w:val="0"/>
              <w:spacing w:before="60" w:line="400" w:lineRule="exact"/>
              <w:jc w:val="both"/>
              <w:rPr>
                <w:rFonts w:eastAsia="宋体"/>
                <w:sz w:val="28"/>
                <w:szCs w:val="28"/>
              </w:rPr>
            </w:pPr>
            <w:r>
              <w:rPr>
                <w:rFonts w:eastAsia="宋体"/>
                <w:sz w:val="28"/>
                <w:szCs w:val="28"/>
              </w:rPr>
              <w:t>钢结构高强度螺栓连接的设计施工及验收规程</w:t>
            </w:r>
          </w:p>
        </w:tc>
        <w:tc>
          <w:tcPr>
            <w:tcW w:w="2059" w:type="dxa"/>
            <w:noWrap w:val="0"/>
            <w:vAlign w:val="top"/>
          </w:tcPr>
          <w:p>
            <w:pPr>
              <w:pStyle w:val="10"/>
              <w:spacing w:line="440" w:lineRule="exact"/>
              <w:rPr>
                <w:rFonts w:ascii="Times New Roman" w:cs="Times New Roman"/>
                <w:color w:val="auto"/>
                <w:sz w:val="28"/>
                <w:szCs w:val="28"/>
              </w:rPr>
            </w:pPr>
            <w:r>
              <w:rPr>
                <w:rFonts w:ascii="Times New Roman" w:cs="Times New Roman"/>
                <w:color w:val="auto"/>
                <w:sz w:val="28"/>
                <w:szCs w:val="28"/>
              </w:rPr>
              <w:t>JGJ82-91</w:t>
            </w:r>
          </w:p>
        </w:tc>
      </w:tr>
    </w:tbl>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我单位各直属公司的特点、实力和技术优势以及单位在东北市场的机械设备及人力资源。</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我单位有关施工质量、安全生产、技术管理等文件。</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我单位质量、环境与职业健康安全管理体系文件。</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吉林省档案标准《建筑安装工程资料管理规程》。</w:t>
      </w:r>
    </w:p>
    <w:p>
      <w:pPr>
        <w:widowControl w:val="0"/>
        <w:numPr>
          <w:ilvl w:val="0"/>
          <w:numId w:val="5"/>
        </w:numPr>
        <w:tabs>
          <w:tab w:val="left" w:pos="1134"/>
        </w:tabs>
        <w:spacing w:before="60" w:line="400" w:lineRule="exact"/>
        <w:jc w:val="both"/>
        <w:rPr>
          <w:rFonts w:eastAsia="宋体"/>
          <w:sz w:val="28"/>
          <w:szCs w:val="28"/>
        </w:rPr>
      </w:pPr>
      <w:r>
        <w:rPr>
          <w:rFonts w:eastAsia="宋体"/>
          <w:sz w:val="28"/>
          <w:szCs w:val="28"/>
        </w:rPr>
        <w:t>公司ISO9002《质量程序文件》和《质量保证手册》文件。</w:t>
      </w:r>
    </w:p>
    <w:p>
      <w:pPr>
        <w:pStyle w:val="2"/>
        <w:numPr>
          <w:ilvl w:val="0"/>
          <w:numId w:val="6"/>
        </w:numPr>
        <w:rPr>
          <w:bCs/>
          <w:w w:val="100"/>
          <w:sz w:val="36"/>
          <w:szCs w:val="32"/>
        </w:rPr>
      </w:pPr>
      <w:bookmarkStart w:id="100" w:name="_Toc80786427"/>
      <w:bookmarkStart w:id="101" w:name="_Toc37307459"/>
      <w:bookmarkStart w:id="102" w:name="_Toc82957974"/>
      <w:bookmarkStart w:id="103" w:name="_Toc80786849"/>
      <w:bookmarkStart w:id="104" w:name="_Toc73969013"/>
      <w:bookmarkStart w:id="105" w:name="_Toc82945943"/>
      <w:bookmarkStart w:id="106" w:name="_Toc74372957"/>
      <w:bookmarkStart w:id="107" w:name="_Toc74342374"/>
      <w:bookmarkStart w:id="108" w:name="_Toc82917181"/>
      <w:bookmarkStart w:id="109" w:name="_Toc78943319"/>
      <w:bookmarkStart w:id="110" w:name="_Toc82958418"/>
      <w:bookmarkStart w:id="111" w:name="_Toc74342107"/>
      <w:bookmarkStart w:id="112" w:name="_Toc32114"/>
      <w:bookmarkStart w:id="113" w:name="_Toc31567"/>
      <w:bookmarkStart w:id="114" w:name="_Toc80787035"/>
      <w:bookmarkStart w:id="115" w:name="_Toc80786750"/>
      <w:bookmarkStart w:id="116" w:name="_Toc433196216"/>
      <w:bookmarkStart w:id="117" w:name="_Toc74372022"/>
      <w:bookmarkStart w:id="118" w:name="_Toc87588299"/>
      <w:bookmarkStart w:id="119" w:name="_Toc82956221"/>
      <w:bookmarkStart w:id="120" w:name="_Toc80786651"/>
      <w:r>
        <w:rPr>
          <w:bCs/>
          <w:w w:val="100"/>
          <w:sz w:val="36"/>
          <w:szCs w:val="32"/>
        </w:rPr>
        <w:t>项目环境及实施条件分析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numPr>
          <w:ilvl w:val="0"/>
          <w:numId w:val="0"/>
        </w:numPr>
      </w:pPr>
    </w:p>
    <w:p>
      <w:pPr>
        <w:pStyle w:val="3"/>
      </w:pPr>
      <w:bookmarkStart w:id="121" w:name="_Toc16770"/>
      <w:bookmarkStart w:id="122" w:name="_Toc82917182"/>
      <w:bookmarkStart w:id="123" w:name="_Toc80786751"/>
      <w:bookmarkStart w:id="124" w:name="_Toc87588300"/>
      <w:bookmarkStart w:id="125" w:name="_Toc80786428"/>
      <w:bookmarkStart w:id="126" w:name="_Toc78943320"/>
      <w:bookmarkStart w:id="127" w:name="_Toc82958419"/>
      <w:bookmarkStart w:id="128" w:name="_Toc74372958"/>
      <w:bookmarkStart w:id="129" w:name="_Toc433196217"/>
      <w:bookmarkStart w:id="130" w:name="_Toc82957975"/>
      <w:bookmarkStart w:id="131" w:name="_Toc74342375"/>
      <w:bookmarkStart w:id="132" w:name="_Toc80787036"/>
      <w:bookmarkStart w:id="133" w:name="_Toc74342108"/>
      <w:bookmarkStart w:id="134" w:name="_Toc82945944"/>
      <w:bookmarkStart w:id="135" w:name="_Toc37307460"/>
      <w:bookmarkStart w:id="136" w:name="_Toc80786652"/>
      <w:bookmarkStart w:id="137" w:name="_Toc82956222"/>
      <w:bookmarkStart w:id="138" w:name="_Toc74372023"/>
      <w:bookmarkStart w:id="139" w:name="_Toc80786850"/>
      <w:bookmarkStart w:id="140" w:name="_Toc537"/>
      <w:bookmarkStart w:id="141" w:name="_Toc73969014"/>
      <w:r>
        <w:t>3.1：场地条件</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4"/>
      </w:pPr>
      <w:bookmarkStart w:id="142" w:name="_Toc66105631"/>
      <w:bookmarkStart w:id="143" w:name="_Toc82957976"/>
      <w:bookmarkStart w:id="144" w:name="_Toc82958420"/>
      <w:bookmarkStart w:id="145" w:name="_Toc73969015"/>
      <w:bookmarkStart w:id="146" w:name="_Toc82945945"/>
      <w:bookmarkStart w:id="147" w:name="_Toc37307461"/>
      <w:bookmarkStart w:id="148" w:name="_Toc433196218"/>
      <w:bookmarkStart w:id="149" w:name="_Toc87588301"/>
      <w:bookmarkStart w:id="150" w:name="_Toc31553"/>
      <w:bookmarkStart w:id="151" w:name="_Toc82956223"/>
      <w:bookmarkStart w:id="152" w:name="_Toc23319"/>
      <w:r>
        <w:t>3.1.1：交通条件</w:t>
      </w:r>
      <w:bookmarkEnd w:id="142"/>
      <w:bookmarkEnd w:id="143"/>
      <w:bookmarkEnd w:id="144"/>
      <w:bookmarkEnd w:id="145"/>
      <w:bookmarkEnd w:id="146"/>
      <w:bookmarkEnd w:id="147"/>
      <w:bookmarkEnd w:id="148"/>
      <w:bookmarkEnd w:id="149"/>
      <w:bookmarkEnd w:id="150"/>
      <w:bookmarkEnd w:id="151"/>
      <w:bookmarkEnd w:id="152"/>
    </w:p>
    <w:p>
      <w:pPr>
        <w:pStyle w:val="4"/>
        <w:ind w:firstLine="560" w:firstLineChars="200"/>
      </w:pPr>
      <w:bookmarkStart w:id="153" w:name="_Toc18552"/>
      <w:bookmarkStart w:id="154" w:name="_Toc433196219"/>
      <w:bookmarkStart w:id="155" w:name="_Toc23909"/>
      <w:bookmarkStart w:id="156" w:name="_Toc82958421"/>
      <w:bookmarkStart w:id="157" w:name="_Toc82957977"/>
      <w:bookmarkStart w:id="158" w:name="_Toc66105632"/>
      <w:bookmarkStart w:id="159" w:name="_Toc82945946"/>
      <w:bookmarkStart w:id="160" w:name="_Toc73969016"/>
      <w:bookmarkStart w:id="161" w:name="_Toc37307462"/>
      <w:bookmarkStart w:id="162" w:name="_Toc82956224"/>
      <w:bookmarkStart w:id="163" w:name="_Toc87588302"/>
      <w:r>
        <w:t>长春市净月高新开发区</w:t>
      </w:r>
      <w:bookmarkEnd w:id="153"/>
      <w:bookmarkEnd w:id="154"/>
      <w:bookmarkEnd w:id="155"/>
    </w:p>
    <w:p>
      <w:pPr>
        <w:pStyle w:val="4"/>
      </w:pPr>
      <w:bookmarkStart w:id="164" w:name="_Toc25939"/>
      <w:bookmarkStart w:id="165" w:name="_Toc433196220"/>
      <w:bookmarkStart w:id="166" w:name="_Toc5605"/>
      <w:r>
        <w:t>3.1.2：建筑场地周边环境</w:t>
      </w:r>
      <w:bookmarkEnd w:id="156"/>
      <w:bookmarkEnd w:id="157"/>
      <w:bookmarkEnd w:id="158"/>
      <w:bookmarkEnd w:id="159"/>
      <w:bookmarkEnd w:id="160"/>
      <w:bookmarkEnd w:id="161"/>
      <w:bookmarkEnd w:id="162"/>
      <w:bookmarkEnd w:id="163"/>
      <w:bookmarkEnd w:id="164"/>
      <w:bookmarkEnd w:id="165"/>
      <w:bookmarkEnd w:id="166"/>
    </w:p>
    <w:p>
      <w:pPr>
        <w:widowControl w:val="0"/>
        <w:spacing w:before="60" w:line="400" w:lineRule="exact"/>
        <w:ind w:firstLine="560" w:firstLineChars="200"/>
        <w:jc w:val="both"/>
        <w:rPr>
          <w:rFonts w:eastAsia="宋体"/>
          <w:sz w:val="28"/>
          <w:szCs w:val="28"/>
        </w:rPr>
      </w:pPr>
      <w:r>
        <w:rPr>
          <w:rFonts w:eastAsia="宋体"/>
          <w:sz w:val="28"/>
          <w:szCs w:val="28"/>
        </w:rPr>
        <w:t>建筑场地周边为居民区，现场四周用彩钢板围档进行封闭化管理，与周边建筑分离，以减小对居民的影响。</w:t>
      </w:r>
    </w:p>
    <w:p>
      <w:pPr>
        <w:pStyle w:val="4"/>
      </w:pPr>
      <w:bookmarkStart w:id="167" w:name="_Toc82958422"/>
      <w:bookmarkStart w:id="168" w:name="_Toc73969017"/>
      <w:bookmarkStart w:id="169" w:name="_Toc37307463"/>
      <w:bookmarkStart w:id="170" w:name="_Toc82957978"/>
      <w:bookmarkStart w:id="171" w:name="_Toc433196221"/>
      <w:bookmarkStart w:id="172" w:name="_Toc87588303"/>
      <w:bookmarkStart w:id="173" w:name="_Toc24863"/>
      <w:bookmarkStart w:id="174" w:name="_Toc15591"/>
      <w:bookmarkStart w:id="175" w:name="_Toc82956225"/>
      <w:bookmarkStart w:id="176" w:name="_Toc66105633"/>
      <w:bookmarkStart w:id="177" w:name="_Toc82945947"/>
      <w:r>
        <w:t>3.1.3：建筑场内环境</w:t>
      </w:r>
      <w:bookmarkEnd w:id="167"/>
      <w:bookmarkEnd w:id="168"/>
      <w:bookmarkEnd w:id="169"/>
      <w:bookmarkEnd w:id="170"/>
      <w:bookmarkEnd w:id="171"/>
      <w:bookmarkEnd w:id="172"/>
      <w:bookmarkEnd w:id="173"/>
      <w:bookmarkEnd w:id="174"/>
      <w:bookmarkEnd w:id="175"/>
      <w:bookmarkEnd w:id="176"/>
      <w:bookmarkEnd w:id="177"/>
    </w:p>
    <w:p>
      <w:pPr>
        <w:widowControl w:val="0"/>
        <w:spacing w:before="60" w:line="400" w:lineRule="exact"/>
        <w:ind w:firstLine="560" w:firstLineChars="200"/>
        <w:jc w:val="both"/>
        <w:rPr>
          <w:rFonts w:eastAsia="宋体"/>
          <w:sz w:val="28"/>
          <w:szCs w:val="28"/>
        </w:rPr>
      </w:pPr>
      <w:r>
        <w:rPr>
          <w:rFonts w:eastAsia="宋体"/>
          <w:sz w:val="28"/>
          <w:szCs w:val="28"/>
        </w:rPr>
        <w:t>建筑场地已平整完毕，施工场地狭窄。现场设有三个进、出口，东、西两侧的大门作为主要设备、材料出入口，南侧大门作为施工人员出入口。</w:t>
      </w:r>
    </w:p>
    <w:p>
      <w:pPr>
        <w:widowControl w:val="0"/>
        <w:spacing w:before="60" w:line="400" w:lineRule="exact"/>
        <w:ind w:firstLine="560" w:firstLineChars="200"/>
        <w:jc w:val="both"/>
        <w:rPr>
          <w:rFonts w:eastAsia="宋体"/>
          <w:sz w:val="28"/>
          <w:szCs w:val="28"/>
        </w:rPr>
      </w:pPr>
      <w:r>
        <w:rPr>
          <w:rFonts w:eastAsia="宋体"/>
          <w:sz w:val="28"/>
          <w:szCs w:val="28"/>
        </w:rPr>
        <w:t>根据最终确定的总平面图标高和各定位基点，精确地测设建筑物的平面及±0.000位置，并结合建筑物基础土方施工（开挖），具体地完成该部位的场地“平整”工作。</w:t>
      </w:r>
    </w:p>
    <w:p>
      <w:pPr>
        <w:pStyle w:val="4"/>
      </w:pPr>
      <w:bookmarkStart w:id="178" w:name="_Toc37307467"/>
      <w:bookmarkStart w:id="179" w:name="_Toc18523"/>
      <w:bookmarkStart w:id="180" w:name="_Toc82957982"/>
      <w:bookmarkStart w:id="181" w:name="_Toc66105637"/>
      <w:bookmarkStart w:id="182" w:name="_Toc87588307"/>
      <w:bookmarkStart w:id="183" w:name="_Toc82956229"/>
      <w:bookmarkStart w:id="184" w:name="_Toc82945951"/>
      <w:bookmarkStart w:id="185" w:name="_Toc433196222"/>
      <w:bookmarkStart w:id="186" w:name="_Toc82958426"/>
      <w:bookmarkStart w:id="187" w:name="_Toc14533"/>
      <w:bookmarkStart w:id="188" w:name="_Toc73969021"/>
      <w:r>
        <w:t>3.1.4：建设场地的通讯工作</w:t>
      </w:r>
      <w:bookmarkEnd w:id="178"/>
      <w:bookmarkEnd w:id="179"/>
      <w:bookmarkEnd w:id="180"/>
      <w:bookmarkEnd w:id="181"/>
      <w:bookmarkEnd w:id="182"/>
      <w:bookmarkEnd w:id="183"/>
      <w:bookmarkEnd w:id="184"/>
      <w:bookmarkEnd w:id="185"/>
      <w:bookmarkEnd w:id="186"/>
      <w:bookmarkEnd w:id="187"/>
      <w:bookmarkEnd w:id="188"/>
    </w:p>
    <w:p>
      <w:pPr>
        <w:widowControl w:val="0"/>
        <w:spacing w:before="60" w:line="400" w:lineRule="exact"/>
        <w:ind w:firstLine="560" w:firstLineChars="200"/>
        <w:jc w:val="both"/>
        <w:rPr>
          <w:rFonts w:eastAsia="宋体"/>
          <w:sz w:val="28"/>
          <w:szCs w:val="28"/>
        </w:rPr>
      </w:pPr>
      <w:r>
        <w:rPr>
          <w:rFonts w:eastAsia="宋体"/>
          <w:sz w:val="28"/>
          <w:szCs w:val="28"/>
        </w:rPr>
        <w:t>现场在市区内，工地处于通讯网络覆盖区域。经联系建设单位可以很快得到解决并开通。</w:t>
      </w:r>
    </w:p>
    <w:p>
      <w:pPr>
        <w:pStyle w:val="3"/>
      </w:pPr>
      <w:bookmarkStart w:id="189" w:name="_Toc78943321"/>
      <w:bookmarkStart w:id="190" w:name="_Toc80786429"/>
      <w:bookmarkStart w:id="191" w:name="_Toc74342109"/>
      <w:bookmarkStart w:id="192" w:name="_Toc82956230"/>
      <w:bookmarkStart w:id="193" w:name="_Toc74372024"/>
      <w:bookmarkStart w:id="194" w:name="_Toc433196223"/>
      <w:bookmarkStart w:id="195" w:name="_Toc80786851"/>
      <w:bookmarkStart w:id="196" w:name="_Toc82958427"/>
      <w:bookmarkStart w:id="197" w:name="_Toc74372959"/>
      <w:bookmarkStart w:id="198" w:name="_Toc80787037"/>
      <w:bookmarkStart w:id="199" w:name="_Toc80786653"/>
      <w:bookmarkStart w:id="200" w:name="_Toc73969022"/>
      <w:bookmarkStart w:id="201" w:name="_Toc37307468"/>
      <w:bookmarkStart w:id="202" w:name="_Toc82917183"/>
      <w:bookmarkStart w:id="203" w:name="_Toc2890"/>
      <w:bookmarkStart w:id="204" w:name="_Toc80786752"/>
      <w:bookmarkStart w:id="205" w:name="_Toc82945952"/>
      <w:bookmarkStart w:id="206" w:name="_Toc82957983"/>
      <w:bookmarkStart w:id="207" w:name="_Toc87588308"/>
      <w:bookmarkStart w:id="208" w:name="_Toc19867"/>
      <w:bookmarkStart w:id="209" w:name="_Toc74342376"/>
      <w:r>
        <w:t>3.2：自然条件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pStyle w:val="4"/>
      </w:pPr>
      <w:bookmarkStart w:id="210" w:name="_Toc82958428"/>
      <w:bookmarkStart w:id="211" w:name="_Toc73514626"/>
      <w:bookmarkStart w:id="212" w:name="_Toc73245028"/>
      <w:bookmarkStart w:id="213" w:name="_Toc82945953"/>
      <w:bookmarkStart w:id="214" w:name="_Toc73460698"/>
      <w:bookmarkStart w:id="215" w:name="_Toc6030"/>
      <w:bookmarkStart w:id="216" w:name="_Toc73514942"/>
      <w:bookmarkStart w:id="217" w:name="_Toc73514784"/>
      <w:bookmarkStart w:id="218" w:name="_Toc37793105"/>
      <w:bookmarkStart w:id="219" w:name="_Toc433196224"/>
      <w:bookmarkStart w:id="220" w:name="_Toc73347758"/>
      <w:bookmarkStart w:id="221" w:name="_Toc82956231"/>
      <w:bookmarkStart w:id="222" w:name="_Toc73611820"/>
      <w:bookmarkStart w:id="223" w:name="_Toc73461557"/>
      <w:bookmarkStart w:id="224" w:name="_Toc73611661"/>
      <w:bookmarkStart w:id="225" w:name="_Toc73461939"/>
      <w:bookmarkStart w:id="226" w:name="_Toc73782935"/>
      <w:bookmarkStart w:id="227" w:name="_Toc82957984"/>
      <w:bookmarkStart w:id="228" w:name="_Toc73413584"/>
      <w:bookmarkStart w:id="229" w:name="_Toc73462209"/>
      <w:bookmarkStart w:id="230" w:name="_Toc73461775"/>
      <w:bookmarkStart w:id="231" w:name="_Toc87588309"/>
      <w:bookmarkStart w:id="232" w:name="_Toc3059"/>
      <w:bookmarkStart w:id="233" w:name="_Toc73413232"/>
      <w:bookmarkStart w:id="234" w:name="_Toc37307469"/>
      <w:bookmarkStart w:id="235" w:name="_Toc66105639"/>
      <w:bookmarkStart w:id="236" w:name="_Toc73969023"/>
      <w:r>
        <w:t>3.2.1:气候情况综述</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val="0"/>
        <w:spacing w:before="60" w:line="400" w:lineRule="exact"/>
        <w:ind w:firstLine="560" w:firstLineChars="200"/>
        <w:jc w:val="both"/>
        <w:rPr>
          <w:rFonts w:eastAsia="宋体"/>
          <w:sz w:val="28"/>
          <w:szCs w:val="28"/>
        </w:rPr>
      </w:pPr>
      <w:bookmarkStart w:id="237" w:name="_Toc73245029"/>
      <w:r>
        <w:rPr>
          <w:rFonts w:eastAsia="宋体"/>
          <w:sz w:val="28"/>
          <w:szCs w:val="28"/>
        </w:rPr>
        <w:t>工程所在地为长春市，气候总的特点是春季（4月至5月）干旱多风，夏季（6月至8月）温暖多雨，秋季（9月至10月）晴朗温差大，冬季（11月至次年3月）严寒漫长。</w:t>
      </w:r>
      <w:bookmarkEnd w:id="237"/>
    </w:p>
    <w:bookmarkEnd w:id="234"/>
    <w:bookmarkEnd w:id="235"/>
    <w:bookmarkEnd w:id="236"/>
    <w:p>
      <w:pPr>
        <w:pStyle w:val="3"/>
      </w:pPr>
      <w:bookmarkStart w:id="238" w:name="_Toc82945964"/>
      <w:bookmarkStart w:id="239" w:name="_Toc82958432"/>
      <w:bookmarkStart w:id="240" w:name="_Toc16901794"/>
      <w:bookmarkStart w:id="241" w:name="_Toc82957988"/>
      <w:bookmarkStart w:id="242" w:name="_Toc74342377"/>
      <w:bookmarkStart w:id="243" w:name="_Toc80786753"/>
      <w:bookmarkStart w:id="244" w:name="_Toc80786430"/>
      <w:bookmarkStart w:id="245" w:name="_Toc37307473"/>
      <w:bookmarkStart w:id="246" w:name="_Toc73969027"/>
      <w:bookmarkStart w:id="247" w:name="_Toc87588313"/>
      <w:bookmarkStart w:id="248" w:name="_Toc9407"/>
      <w:bookmarkStart w:id="249" w:name="_Toc80786852"/>
      <w:bookmarkStart w:id="250" w:name="_Toc80787038"/>
      <w:bookmarkStart w:id="251" w:name="_Toc433196225"/>
      <w:bookmarkStart w:id="252" w:name="_Toc74342110"/>
      <w:bookmarkStart w:id="253" w:name="_Toc74372025"/>
      <w:bookmarkStart w:id="254" w:name="_Toc80786654"/>
      <w:bookmarkStart w:id="255" w:name="_Toc74372960"/>
      <w:bookmarkStart w:id="256" w:name="_Toc10709"/>
      <w:bookmarkStart w:id="257" w:name="_Toc82956233"/>
      <w:bookmarkStart w:id="258" w:name="_Toc82917184"/>
      <w:bookmarkStart w:id="259" w:name="_Toc78943322"/>
      <w:r>
        <w:t>3.3：于本工程实施有利的条件</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widowControl w:val="0"/>
        <w:spacing w:before="60" w:line="400" w:lineRule="exact"/>
        <w:ind w:firstLine="688"/>
        <w:jc w:val="both"/>
        <w:rPr>
          <w:rFonts w:eastAsia="宋体"/>
          <w:sz w:val="28"/>
          <w:szCs w:val="28"/>
        </w:rPr>
      </w:pPr>
      <w:r>
        <w:rPr>
          <w:rFonts w:eastAsia="宋体"/>
          <w:sz w:val="28"/>
          <w:szCs w:val="28"/>
        </w:rPr>
        <w:t>从本工程已有的现场条件和对类似工程的情况分析对比，可以发现在本工程实施过程中将会有以下有利条件：</w:t>
      </w:r>
    </w:p>
    <w:p>
      <w:pPr>
        <w:widowControl w:val="0"/>
        <w:tabs>
          <w:tab w:val="left" w:pos="1136"/>
        </w:tabs>
        <w:spacing w:before="60" w:line="400" w:lineRule="exact"/>
        <w:ind w:left="697"/>
        <w:jc w:val="both"/>
        <w:rPr>
          <w:rFonts w:eastAsia="宋体"/>
          <w:sz w:val="28"/>
          <w:szCs w:val="28"/>
        </w:rPr>
      </w:pPr>
      <w:r>
        <w:rPr>
          <w:rFonts w:eastAsia="宋体"/>
          <w:sz w:val="28"/>
          <w:szCs w:val="28"/>
        </w:rPr>
        <w:t>1) 施工交通便捷，对施工材料进出非常有利；</w:t>
      </w:r>
    </w:p>
    <w:p>
      <w:pPr>
        <w:widowControl w:val="0"/>
        <w:tabs>
          <w:tab w:val="left" w:pos="1136"/>
        </w:tabs>
        <w:spacing w:before="60" w:line="400" w:lineRule="exact"/>
        <w:ind w:left="697"/>
        <w:jc w:val="both"/>
        <w:rPr>
          <w:rFonts w:eastAsia="宋体"/>
          <w:sz w:val="28"/>
          <w:szCs w:val="28"/>
        </w:rPr>
      </w:pPr>
      <w:r>
        <w:rPr>
          <w:rFonts w:eastAsia="宋体"/>
          <w:sz w:val="28"/>
          <w:szCs w:val="28"/>
        </w:rPr>
        <w:t>2) 建设单位对该工程十分重视，在工程施工中将给予大力支持；</w:t>
      </w:r>
    </w:p>
    <w:p>
      <w:pPr>
        <w:widowControl w:val="0"/>
        <w:tabs>
          <w:tab w:val="left" w:pos="1136"/>
        </w:tabs>
        <w:spacing w:before="60" w:line="400" w:lineRule="exact"/>
        <w:ind w:left="697"/>
        <w:jc w:val="both"/>
        <w:rPr>
          <w:rFonts w:eastAsia="宋体"/>
          <w:sz w:val="28"/>
          <w:szCs w:val="28"/>
        </w:rPr>
      </w:pPr>
    </w:p>
    <w:p>
      <w:pPr>
        <w:pStyle w:val="3"/>
      </w:pPr>
      <w:bookmarkStart w:id="260" w:name="_Toc80786754"/>
      <w:bookmarkStart w:id="261" w:name="_Toc28384"/>
      <w:bookmarkStart w:id="262" w:name="_Toc82957989"/>
      <w:bookmarkStart w:id="263" w:name="_Toc74342111"/>
      <w:bookmarkStart w:id="264" w:name="_Toc16901795"/>
      <w:bookmarkStart w:id="265" w:name="_Toc74372026"/>
      <w:bookmarkStart w:id="266" w:name="_Toc87588314"/>
      <w:bookmarkStart w:id="267" w:name="_Toc82958433"/>
      <w:bookmarkStart w:id="268" w:name="_Toc15325"/>
      <w:bookmarkStart w:id="269" w:name="_Toc74372961"/>
      <w:bookmarkStart w:id="270" w:name="_Toc74342378"/>
      <w:bookmarkStart w:id="271" w:name="_Toc433196226"/>
      <w:bookmarkStart w:id="272" w:name="_Toc82917185"/>
      <w:bookmarkStart w:id="273" w:name="_Toc80787039"/>
      <w:bookmarkStart w:id="274" w:name="_Toc80786431"/>
      <w:bookmarkStart w:id="275" w:name="_Toc82956234"/>
      <w:bookmarkStart w:id="276" w:name="_Toc78943323"/>
      <w:bookmarkStart w:id="277" w:name="_Toc80786853"/>
      <w:bookmarkStart w:id="278" w:name="_Toc37307474"/>
      <w:bookmarkStart w:id="279" w:name="_Toc80786655"/>
      <w:bookmarkStart w:id="280" w:name="_Toc82945965"/>
      <w:bookmarkStart w:id="281" w:name="_Toc73969028"/>
      <w:r>
        <w:t>3.4：于本工程实施不利的条件</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widowControl w:val="0"/>
        <w:spacing w:before="60" w:line="400" w:lineRule="exact"/>
        <w:ind w:firstLine="688"/>
        <w:jc w:val="both"/>
        <w:rPr>
          <w:rFonts w:eastAsia="宋体"/>
          <w:sz w:val="28"/>
          <w:szCs w:val="28"/>
        </w:rPr>
      </w:pPr>
      <w:r>
        <w:rPr>
          <w:rFonts w:eastAsia="宋体"/>
          <w:sz w:val="28"/>
          <w:szCs w:val="28"/>
        </w:rPr>
        <w:t>项目的实施也有以下诸多不利：</w:t>
      </w:r>
    </w:p>
    <w:p>
      <w:pPr>
        <w:widowControl w:val="0"/>
        <w:tabs>
          <w:tab w:val="left" w:pos="1136"/>
        </w:tabs>
        <w:spacing w:before="60" w:line="400" w:lineRule="exact"/>
        <w:ind w:left="697"/>
        <w:jc w:val="both"/>
        <w:rPr>
          <w:rFonts w:eastAsia="宋体"/>
          <w:sz w:val="28"/>
          <w:szCs w:val="28"/>
        </w:rPr>
      </w:pPr>
      <w:r>
        <w:rPr>
          <w:rFonts w:eastAsia="宋体"/>
          <w:sz w:val="28"/>
          <w:szCs w:val="28"/>
        </w:rPr>
        <w:t>1) 工程单层建筑面积较大，对于场地布置和材料、车辆进出都可能造成相互影响；对于施工人员的管理也带来难度；</w:t>
      </w:r>
    </w:p>
    <w:p>
      <w:pPr>
        <w:widowControl w:val="0"/>
        <w:tabs>
          <w:tab w:val="left" w:pos="1136"/>
        </w:tabs>
        <w:spacing w:before="60" w:line="400" w:lineRule="exact"/>
        <w:ind w:left="697"/>
        <w:jc w:val="both"/>
        <w:rPr>
          <w:rFonts w:eastAsia="宋体"/>
          <w:sz w:val="28"/>
          <w:szCs w:val="28"/>
        </w:rPr>
      </w:pPr>
      <w:r>
        <w:rPr>
          <w:rFonts w:eastAsia="宋体"/>
          <w:sz w:val="28"/>
          <w:szCs w:val="28"/>
        </w:rPr>
        <w:t>2) 工程建设有较高的工期目标，实际有效的施工时间较少，给组织、管理等各方面工作都带来较大的难度；</w:t>
      </w:r>
    </w:p>
    <w:p>
      <w:pPr>
        <w:widowControl w:val="0"/>
        <w:tabs>
          <w:tab w:val="left" w:pos="1136"/>
        </w:tabs>
        <w:spacing w:before="60" w:line="400" w:lineRule="exact"/>
        <w:ind w:left="697"/>
        <w:jc w:val="both"/>
        <w:rPr>
          <w:rFonts w:eastAsia="宋体"/>
          <w:sz w:val="28"/>
          <w:szCs w:val="28"/>
        </w:rPr>
      </w:pPr>
      <w:r>
        <w:rPr>
          <w:rFonts w:eastAsia="宋体"/>
          <w:sz w:val="28"/>
          <w:szCs w:val="28"/>
        </w:rPr>
        <w:t>3) 由于本项目楼层单层体量大，一次性周转料具和模板投入及人力资源的组织工作相对于其它工程均明显增高，因此，合理布置施工工序，组织施工流水，优化资源配置是本工程重点控制的要素之一。</w:t>
      </w:r>
    </w:p>
    <w:p>
      <w:pPr>
        <w:widowControl w:val="0"/>
        <w:tabs>
          <w:tab w:val="left" w:pos="1136"/>
        </w:tabs>
        <w:spacing w:before="60" w:line="400" w:lineRule="exact"/>
        <w:ind w:left="697"/>
        <w:jc w:val="both"/>
        <w:rPr>
          <w:rFonts w:eastAsia="宋体"/>
          <w:sz w:val="28"/>
          <w:szCs w:val="28"/>
        </w:rPr>
      </w:pPr>
      <w:r>
        <w:rPr>
          <w:rFonts w:eastAsia="宋体"/>
          <w:sz w:val="28"/>
          <w:szCs w:val="28"/>
        </w:rPr>
        <w:t>4) 该工程施工时将跨越冬季施工，给施工组织带来诸多不便，同时将加大工程成本。</w:t>
      </w:r>
    </w:p>
    <w:p>
      <w:pPr>
        <w:widowControl w:val="0"/>
        <w:tabs>
          <w:tab w:val="left" w:pos="1136"/>
        </w:tabs>
        <w:spacing w:before="60" w:line="400" w:lineRule="exact"/>
        <w:ind w:left="697"/>
        <w:jc w:val="both"/>
        <w:rPr>
          <w:rFonts w:eastAsia="宋体"/>
          <w:sz w:val="28"/>
          <w:szCs w:val="28"/>
        </w:rPr>
      </w:pPr>
      <w:r>
        <w:rPr>
          <w:rFonts w:eastAsia="宋体"/>
          <w:sz w:val="28"/>
          <w:szCs w:val="28"/>
        </w:rPr>
        <w:t>5) 工程装修阶段，内外装饰及安装工程相互穿插作业多，需要加强项目总的现场协调管理。</w:t>
      </w:r>
    </w:p>
    <w:p>
      <w:pPr>
        <w:widowControl w:val="0"/>
        <w:tabs>
          <w:tab w:val="left" w:pos="1136"/>
        </w:tabs>
        <w:spacing w:before="60" w:line="400" w:lineRule="exact"/>
        <w:ind w:left="697"/>
        <w:jc w:val="both"/>
        <w:rPr>
          <w:rFonts w:eastAsia="宋体"/>
          <w:sz w:val="28"/>
          <w:szCs w:val="28"/>
        </w:rPr>
        <w:sectPr>
          <w:headerReference r:id="rId3" w:type="default"/>
          <w:pgSz w:w="11907" w:h="16840"/>
          <w:pgMar w:top="1814" w:right="1021" w:bottom="1418" w:left="1701" w:header="851" w:footer="851" w:gutter="0"/>
          <w:pgNumType w:fmt="decimal"/>
          <w:cols w:space="720" w:num="1"/>
          <w:docGrid w:type="lines" w:linePitch="520" w:charSpace="4959"/>
        </w:sectPr>
      </w:pPr>
    </w:p>
    <w:p>
      <w:pPr>
        <w:widowControl w:val="0"/>
        <w:tabs>
          <w:tab w:val="left" w:pos="1136"/>
        </w:tabs>
        <w:spacing w:before="60" w:line="400" w:lineRule="exact"/>
        <w:ind w:left="697"/>
        <w:jc w:val="both"/>
        <w:rPr>
          <w:rFonts w:eastAsia="宋体"/>
          <w:sz w:val="28"/>
          <w:szCs w:val="28"/>
        </w:rPr>
      </w:pPr>
      <w:r>
        <w:rPr>
          <w:rFonts w:eastAsia="宋体"/>
          <w:sz w:val="28"/>
          <w:szCs w:val="28"/>
        </w:rPr>
        <w:t>6)建筑结构尺寸复杂，有许多异形柱、异性栏板有等，本工程设计要求所有混凝土构件达到清水混凝土效果，外饰面质量要求高，对施工带来较大困难。</w:t>
      </w:r>
    </w:p>
    <w:p>
      <w:pPr>
        <w:widowControl w:val="0"/>
        <w:numPr>
          <w:numId w:val="0"/>
        </w:numPr>
        <w:tabs>
          <w:tab w:val="left" w:pos="987"/>
        </w:tabs>
        <w:spacing w:before="60" w:line="400" w:lineRule="exact"/>
        <w:jc w:val="both"/>
        <w:rPr>
          <w:rFonts w:eastAsia="宋体"/>
          <w:sz w:val="28"/>
          <w:szCs w:val="28"/>
        </w:rPr>
      </w:pPr>
    </w:p>
    <w:p>
      <w:pPr>
        <w:pStyle w:val="2"/>
        <w:rPr>
          <w:bCs/>
          <w:w w:val="100"/>
          <w:sz w:val="36"/>
          <w:szCs w:val="32"/>
        </w:rPr>
      </w:pPr>
      <w:bookmarkStart w:id="282" w:name="_Toc74372962"/>
      <w:bookmarkStart w:id="283" w:name="_Toc8039"/>
      <w:bookmarkStart w:id="284" w:name="_Toc433196227"/>
      <w:bookmarkStart w:id="285" w:name="_Toc80786432"/>
      <w:bookmarkStart w:id="286" w:name="_Toc74342112"/>
      <w:bookmarkStart w:id="287" w:name="_Toc78943324"/>
      <w:bookmarkStart w:id="288" w:name="_Toc25677"/>
      <w:bookmarkStart w:id="289" w:name="_Toc74342379"/>
      <w:bookmarkStart w:id="290" w:name="_Toc82956235"/>
      <w:bookmarkStart w:id="291" w:name="_Toc80786755"/>
      <w:bookmarkStart w:id="292" w:name="_Toc82945966"/>
      <w:bookmarkStart w:id="293" w:name="_Toc80787040"/>
      <w:bookmarkStart w:id="294" w:name="_Toc82917186"/>
      <w:bookmarkStart w:id="295" w:name="_Toc74372027"/>
      <w:bookmarkStart w:id="296" w:name="_Toc87588315"/>
      <w:bookmarkStart w:id="297" w:name="_Toc82958434"/>
      <w:bookmarkStart w:id="298" w:name="_Toc82957990"/>
      <w:bookmarkStart w:id="299" w:name="_Toc80786854"/>
      <w:bookmarkStart w:id="300" w:name="_Toc80786656"/>
      <w:r>
        <w:rPr>
          <w:bCs/>
          <w:w w:val="100"/>
          <w:sz w:val="36"/>
          <w:szCs w:val="32"/>
        </w:rPr>
        <w:t>四、施工部署</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
      <w:pPr>
        <w:pStyle w:val="3"/>
      </w:pPr>
      <w:bookmarkStart w:id="301" w:name="_Toc80786433"/>
      <w:bookmarkStart w:id="302" w:name="_Toc74342113"/>
      <w:bookmarkStart w:id="303" w:name="_Toc80787041"/>
      <w:bookmarkStart w:id="304" w:name="_Toc82917187"/>
      <w:bookmarkStart w:id="305" w:name="_Toc82957991"/>
      <w:bookmarkStart w:id="306" w:name="_Toc87588316"/>
      <w:bookmarkStart w:id="307" w:name="_Toc73969029"/>
      <w:bookmarkStart w:id="308" w:name="_Toc19911"/>
      <w:bookmarkStart w:id="309" w:name="_Toc78943325"/>
      <w:bookmarkStart w:id="310" w:name="_Toc74372028"/>
      <w:bookmarkStart w:id="311" w:name="_Toc82956236"/>
      <w:bookmarkStart w:id="312" w:name="_Toc80786756"/>
      <w:bookmarkStart w:id="313" w:name="_Toc20950"/>
      <w:bookmarkStart w:id="314" w:name="_Toc82945967"/>
      <w:bookmarkStart w:id="315" w:name="_Toc433196228"/>
      <w:bookmarkStart w:id="316" w:name="_Toc80786657"/>
      <w:bookmarkStart w:id="317" w:name="_Toc80786855"/>
      <w:bookmarkStart w:id="318" w:name="_Toc74342380"/>
      <w:bookmarkStart w:id="319" w:name="_Toc479630798"/>
      <w:bookmarkStart w:id="320" w:name="_Toc82958435"/>
      <w:bookmarkStart w:id="321" w:name="_Toc74372963"/>
      <w:r>
        <w:t>4.1：工程特点分析</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Style w:val="11"/>
        <w:spacing w:line="440" w:lineRule="exact"/>
        <w:ind w:firstLine="560" w:firstLineChars="200"/>
        <w:rPr>
          <w:rFonts w:ascii="Times New Roman" w:cs="Times New Roman"/>
          <w:sz w:val="28"/>
          <w:szCs w:val="28"/>
        </w:rPr>
      </w:pPr>
      <w:r>
        <w:rPr>
          <w:rFonts w:ascii="Times New Roman" w:cs="Times New Roman"/>
          <w:sz w:val="28"/>
          <w:szCs w:val="28"/>
        </w:rPr>
        <w:t>1)  本工程设计要求所有混凝土构件达到清水混凝土效果，结构造型有异形柱、异形栏板、型钢框架挂预制饰面清水混凝土外墙板，件构成了本工程的最大亮点，同时也是本项目的核心难点，需要对清水混凝土施工作出重点部署。</w:t>
      </w:r>
    </w:p>
    <w:p>
      <w:pPr>
        <w:pStyle w:val="11"/>
        <w:spacing w:line="440" w:lineRule="exact"/>
        <w:ind w:firstLine="560" w:firstLineChars="200"/>
        <w:rPr>
          <w:rFonts w:ascii="Times New Roman" w:cs="Times New Roman"/>
          <w:color w:val="000000"/>
          <w:sz w:val="28"/>
          <w:szCs w:val="28"/>
        </w:rPr>
      </w:pPr>
      <w:r>
        <w:rPr>
          <w:rFonts w:ascii="Times New Roman" w:cs="Times New Roman"/>
          <w:sz w:val="28"/>
          <w:szCs w:val="28"/>
        </w:rPr>
        <w:t>2）本工程有大面积的金属骨料地面，为确保全面满足使用功能，装</w:t>
      </w:r>
      <w:r>
        <w:rPr>
          <w:rFonts w:ascii="Times New Roman" w:cs="Times New Roman"/>
          <w:color w:val="000000"/>
          <w:sz w:val="28"/>
          <w:szCs w:val="28"/>
        </w:rPr>
        <w:t>饰期的地面施工及地面质量控制也是本工程的重点。</w:t>
      </w:r>
    </w:p>
    <w:p>
      <w:pPr>
        <w:spacing w:before="60" w:line="400" w:lineRule="exact"/>
        <w:ind w:firstLine="560" w:firstLineChars="200"/>
        <w:rPr>
          <w:rFonts w:eastAsia="宋体"/>
          <w:sz w:val="28"/>
          <w:szCs w:val="28"/>
        </w:rPr>
      </w:pPr>
      <w:r>
        <w:rPr>
          <w:rFonts w:eastAsia="宋体"/>
          <w:sz w:val="28"/>
          <w:szCs w:val="28"/>
        </w:rPr>
        <w:t>3)  工程落地面积较大，建筑层数较少，材料可周转次数少，在材料设备和人力资源上应加大投入，并需要合理组织施工，才能实现目标；</w:t>
      </w:r>
    </w:p>
    <w:p>
      <w:pPr>
        <w:spacing w:before="60" w:line="400" w:lineRule="exact"/>
        <w:ind w:firstLine="560" w:firstLineChars="200"/>
        <w:rPr>
          <w:rFonts w:eastAsia="宋体"/>
          <w:sz w:val="28"/>
          <w:szCs w:val="28"/>
        </w:rPr>
      </w:pPr>
      <w:r>
        <w:rPr>
          <w:rFonts w:eastAsia="宋体"/>
          <w:sz w:val="28"/>
          <w:szCs w:val="28"/>
        </w:rPr>
        <w:t>4)  建设计划2016年</w:t>
      </w:r>
      <w:r>
        <w:rPr>
          <w:rFonts w:hint="eastAsia" w:eastAsia="宋体"/>
          <w:sz w:val="28"/>
          <w:szCs w:val="28"/>
        </w:rPr>
        <w:t>11</w:t>
      </w:r>
      <w:r>
        <w:rPr>
          <w:rFonts w:eastAsia="宋体"/>
          <w:sz w:val="28"/>
          <w:szCs w:val="28"/>
        </w:rPr>
        <w:t>月30日全部工程竣工，施工期间将经历雨季、夏季、冬季等影响施工的时令节气，在人员组织方面应重点安排。</w:t>
      </w:r>
    </w:p>
    <w:p>
      <w:pPr>
        <w:pStyle w:val="3"/>
      </w:pPr>
      <w:bookmarkStart w:id="322" w:name="_Toc74372964"/>
      <w:bookmarkStart w:id="323" w:name="_Toc80786434"/>
      <w:bookmarkStart w:id="324" w:name="_Toc82917188"/>
      <w:bookmarkStart w:id="325" w:name="_Toc74342114"/>
      <w:bookmarkStart w:id="326" w:name="_Toc73969030"/>
      <w:bookmarkStart w:id="327" w:name="_Toc82958436"/>
      <w:bookmarkStart w:id="328" w:name="_Toc78943326"/>
      <w:bookmarkStart w:id="329" w:name="_Toc26009"/>
      <w:bookmarkStart w:id="330" w:name="_Toc80786757"/>
      <w:bookmarkStart w:id="331" w:name="_Toc87588317"/>
      <w:bookmarkStart w:id="332" w:name="_Toc433196229"/>
      <w:bookmarkStart w:id="333" w:name="_Toc80787042"/>
      <w:bookmarkStart w:id="334" w:name="_Toc74372029"/>
      <w:bookmarkStart w:id="335" w:name="_Toc479630799"/>
      <w:bookmarkStart w:id="336" w:name="_Toc82956237"/>
      <w:bookmarkStart w:id="337" w:name="_Toc9351"/>
      <w:bookmarkStart w:id="338" w:name="_Toc80786658"/>
      <w:bookmarkStart w:id="339" w:name="_Toc80786856"/>
      <w:bookmarkStart w:id="340" w:name="_Toc82945968"/>
      <w:bookmarkStart w:id="341" w:name="_Toc82957992"/>
      <w:bookmarkStart w:id="342" w:name="_Toc74342381"/>
      <w:r>
        <w:t>4.2：工程施工组织的指导思想</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3" w:name="_Toc41819415"/>
      <w:bookmarkStart w:id="344" w:name="_Toc10278387"/>
      <w:bookmarkStart w:id="345" w:name="_Toc10358777"/>
      <w:bookmarkStart w:id="346" w:name="_Toc10466673"/>
      <w:bookmarkStart w:id="347" w:name="_Toc73506500"/>
      <w:bookmarkStart w:id="348" w:name="_Toc10474048"/>
      <w:bookmarkStart w:id="349" w:name="_Toc10446562"/>
      <w:bookmarkStart w:id="350" w:name="_Toc10474803"/>
      <w:bookmarkStart w:id="351" w:name="_Toc10466585"/>
      <w:bookmarkStart w:id="352" w:name="_Toc10474255"/>
      <w:bookmarkStart w:id="353" w:name="_Toc10278488"/>
      <w:bookmarkStart w:id="354" w:name="_Toc10473957"/>
      <w:bookmarkStart w:id="355" w:name="_Toc37793119"/>
      <w:bookmarkStart w:id="356" w:name="_Toc10474139"/>
      <w:bookmarkStart w:id="357" w:name="_Toc10446911"/>
      <w:bookmarkStart w:id="358" w:name="_Toc10436698"/>
      <w:bookmarkStart w:id="359" w:name="_Toc10436903"/>
      <w:bookmarkStart w:id="360" w:name="_Toc41128536"/>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１）以“高目标”、“高起点”、“高水准”进行本工程的施工总承包管理和组织实施；</w:t>
      </w:r>
    </w:p>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２）按照目标决定组织的原则，精心设置（建立）精干、高效、政令和信息畅通的组织机构，严格挑选参与施工的各组成人员；</w:t>
      </w:r>
    </w:p>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３）围绕工程特点，采用先进而成熟的施工工艺、技术和设备，运用现代化的管理手段和方法，以质量管理为中心，安全施工为保障，科学施工，合理部署，狠抓过程精品，确保项目各控制目标的实现；</w:t>
      </w:r>
    </w:p>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４）根据上述原则和施工合同、设计图纸、国家现行建筑规范、标准，以及长春市的有关规定编制本施工组织设计；</w:t>
      </w:r>
    </w:p>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５）为切实保证各项控制目标的实现，我单位将充分调集单位内各方面的力量，全力为业主的工程建设项目服务。</w:t>
      </w:r>
    </w:p>
    <w:p>
      <w:pPr>
        <w:pStyle w:val="3"/>
      </w:pPr>
      <w:bookmarkStart w:id="361" w:name="_Toc479630800"/>
      <w:bookmarkStart w:id="362" w:name="_Toc74372030"/>
      <w:bookmarkStart w:id="363" w:name="_Toc80786758"/>
      <w:bookmarkStart w:id="364" w:name="_Toc82945969"/>
      <w:bookmarkStart w:id="365" w:name="_Toc433196230"/>
      <w:bookmarkStart w:id="366" w:name="_Toc73969031"/>
      <w:bookmarkStart w:id="367" w:name="_Toc78943327"/>
      <w:bookmarkStart w:id="368" w:name="_Toc80787043"/>
      <w:bookmarkStart w:id="369" w:name="_Toc82957993"/>
      <w:bookmarkStart w:id="370" w:name="_Toc80786435"/>
      <w:bookmarkStart w:id="371" w:name="_Toc80786857"/>
      <w:bookmarkStart w:id="372" w:name="_Toc21874"/>
      <w:bookmarkStart w:id="373" w:name="_Toc87588318"/>
      <w:bookmarkStart w:id="374" w:name="_Toc74372965"/>
      <w:bookmarkStart w:id="375" w:name="_Toc82917189"/>
      <w:bookmarkStart w:id="376" w:name="_Toc8849"/>
      <w:bookmarkStart w:id="377" w:name="_Toc80786659"/>
      <w:bookmarkStart w:id="378" w:name="_Toc74342382"/>
      <w:bookmarkStart w:id="379" w:name="_Toc82958437"/>
      <w:bookmarkStart w:id="380" w:name="_Toc74342115"/>
      <w:bookmarkStart w:id="381" w:name="_Toc82956238"/>
      <w:r>
        <w:t>4.3：重点分部分项工程</w:t>
      </w:r>
      <w:bookmarkEnd w:id="361"/>
      <w:r>
        <w:t>划分</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widowControl w:val="0"/>
        <w:spacing w:before="60" w:line="400" w:lineRule="exact"/>
        <w:ind w:firstLine="560" w:firstLineChars="200"/>
        <w:jc w:val="both"/>
        <w:rPr>
          <w:rFonts w:eastAsia="宋体"/>
          <w:sz w:val="28"/>
          <w:szCs w:val="28"/>
        </w:rPr>
      </w:pPr>
      <w:r>
        <w:rPr>
          <w:rFonts w:eastAsia="宋体"/>
          <w:sz w:val="28"/>
          <w:szCs w:val="28"/>
        </w:rPr>
        <w:t>根据上述分析和部署，对照所承建过类似工程的特点，将本项目的下列分部分项工程列为重点，在施工方法、工艺、设备选择和人员配备方面给予着重考虑。</w:t>
      </w:r>
    </w:p>
    <w:p>
      <w:pPr>
        <w:pStyle w:val="4"/>
      </w:pPr>
      <w:bookmarkStart w:id="382" w:name="_Toc82945970"/>
      <w:bookmarkStart w:id="383" w:name="_Toc5917"/>
      <w:bookmarkStart w:id="384" w:name="_Toc433196231"/>
      <w:bookmarkStart w:id="385" w:name="_Toc66105649"/>
      <w:bookmarkStart w:id="386" w:name="_Toc82957994"/>
      <w:bookmarkStart w:id="387" w:name="_Toc73969032"/>
      <w:bookmarkStart w:id="388" w:name="_Toc22164"/>
      <w:bookmarkStart w:id="389" w:name="_Toc82958438"/>
      <w:bookmarkStart w:id="390" w:name="_Toc87588319"/>
      <w:bookmarkStart w:id="391" w:name="_Toc82956239"/>
      <w:r>
        <w:t>4.3.1：重点分项工程</w:t>
      </w:r>
      <w:bookmarkEnd w:id="382"/>
      <w:bookmarkEnd w:id="383"/>
      <w:bookmarkEnd w:id="384"/>
      <w:bookmarkEnd w:id="385"/>
      <w:bookmarkEnd w:id="386"/>
      <w:bookmarkEnd w:id="387"/>
      <w:bookmarkEnd w:id="388"/>
      <w:bookmarkEnd w:id="389"/>
      <w:bookmarkEnd w:id="390"/>
      <w:bookmarkEnd w:id="391"/>
    </w:p>
    <w:p>
      <w:pPr>
        <w:widowControl w:val="0"/>
        <w:tabs>
          <w:tab w:val="left" w:pos="1136"/>
        </w:tabs>
        <w:spacing w:before="60" w:line="400" w:lineRule="exact"/>
        <w:ind w:left="697"/>
        <w:jc w:val="both"/>
        <w:rPr>
          <w:rFonts w:eastAsia="宋体"/>
          <w:sz w:val="28"/>
          <w:szCs w:val="28"/>
        </w:rPr>
      </w:pPr>
      <w:r>
        <w:rPr>
          <w:rFonts w:eastAsia="宋体"/>
          <w:sz w:val="28"/>
          <w:szCs w:val="28"/>
        </w:rPr>
        <w:t>１）桩基础工程：预应力钢筋混凝土管桩基础施工；</w:t>
      </w:r>
    </w:p>
    <w:p>
      <w:pPr>
        <w:widowControl w:val="0"/>
        <w:tabs>
          <w:tab w:val="left" w:pos="1136"/>
        </w:tabs>
        <w:spacing w:before="60" w:line="400" w:lineRule="exact"/>
        <w:ind w:left="697"/>
        <w:jc w:val="both"/>
        <w:rPr>
          <w:rFonts w:eastAsia="宋体"/>
          <w:sz w:val="28"/>
          <w:szCs w:val="28"/>
        </w:rPr>
      </w:pPr>
      <w:r>
        <w:rPr>
          <w:rFonts w:eastAsia="宋体"/>
          <w:sz w:val="28"/>
          <w:szCs w:val="28"/>
        </w:rPr>
        <w:t>２）模板工程：基础、主体框架等工程的模板系统；</w:t>
      </w:r>
    </w:p>
    <w:p>
      <w:pPr>
        <w:widowControl w:val="0"/>
        <w:tabs>
          <w:tab w:val="left" w:pos="1136"/>
        </w:tabs>
        <w:spacing w:before="60" w:line="400" w:lineRule="exact"/>
        <w:ind w:left="697"/>
        <w:jc w:val="both"/>
        <w:rPr>
          <w:rFonts w:eastAsia="宋体"/>
          <w:sz w:val="28"/>
          <w:szCs w:val="28"/>
        </w:rPr>
      </w:pPr>
      <w:r>
        <w:rPr>
          <w:rFonts w:eastAsia="宋体"/>
          <w:sz w:val="28"/>
          <w:szCs w:val="28"/>
        </w:rPr>
        <w:t>３）钢筋工程：工程的钢筋制作和绑扎，钢筋连接、后浇带区钢筋绑扎工程；</w:t>
      </w:r>
    </w:p>
    <w:p>
      <w:pPr>
        <w:widowControl w:val="0"/>
        <w:tabs>
          <w:tab w:val="left" w:pos="1136"/>
        </w:tabs>
        <w:spacing w:before="60" w:line="400" w:lineRule="exact"/>
        <w:ind w:left="697"/>
        <w:jc w:val="both"/>
        <w:rPr>
          <w:rFonts w:eastAsia="宋体"/>
          <w:sz w:val="28"/>
          <w:szCs w:val="28"/>
        </w:rPr>
      </w:pPr>
      <w:r>
        <w:rPr>
          <w:rFonts w:eastAsia="宋体"/>
          <w:sz w:val="28"/>
          <w:szCs w:val="28"/>
        </w:rPr>
        <w:t>４）混凝土工程：抗渗混凝土浇筑及振捣、后浇带的处理、清水混凝土外观质量控制；</w:t>
      </w:r>
    </w:p>
    <w:p>
      <w:pPr>
        <w:widowControl w:val="0"/>
        <w:tabs>
          <w:tab w:val="left" w:pos="1136"/>
        </w:tabs>
        <w:spacing w:before="60" w:line="400" w:lineRule="exact"/>
        <w:ind w:left="697"/>
        <w:jc w:val="both"/>
        <w:rPr>
          <w:rFonts w:eastAsia="宋体"/>
          <w:sz w:val="28"/>
          <w:szCs w:val="28"/>
        </w:rPr>
      </w:pPr>
      <w:r>
        <w:rPr>
          <w:rFonts w:eastAsia="宋体"/>
          <w:sz w:val="28"/>
          <w:szCs w:val="28"/>
        </w:rPr>
        <w:t>５）装饰工程：外墙干挂石材及混凝土保护剂胡质量控制；</w:t>
      </w:r>
    </w:p>
    <w:p>
      <w:pPr>
        <w:widowControl w:val="0"/>
        <w:tabs>
          <w:tab w:val="left" w:pos="1136"/>
        </w:tabs>
        <w:spacing w:before="60" w:line="400" w:lineRule="exact"/>
        <w:ind w:left="697"/>
        <w:jc w:val="both"/>
        <w:rPr>
          <w:rFonts w:eastAsia="宋体"/>
          <w:sz w:val="28"/>
          <w:szCs w:val="28"/>
        </w:rPr>
      </w:pPr>
      <w:r>
        <w:rPr>
          <w:rFonts w:eastAsia="宋体"/>
          <w:sz w:val="28"/>
          <w:szCs w:val="28"/>
        </w:rPr>
        <w:t>６）地下室、屋面、卫生间防水工程；</w:t>
      </w:r>
    </w:p>
    <w:p>
      <w:pPr>
        <w:pStyle w:val="4"/>
      </w:pPr>
      <w:bookmarkStart w:id="392" w:name="_Toc82958439"/>
      <w:bookmarkStart w:id="393" w:name="_Toc16053"/>
      <w:bookmarkStart w:id="394" w:name="_Toc66105650"/>
      <w:bookmarkStart w:id="395" w:name="_Toc87588320"/>
      <w:bookmarkStart w:id="396" w:name="_Toc73969033"/>
      <w:bookmarkStart w:id="397" w:name="_Toc82945971"/>
      <w:bookmarkStart w:id="398" w:name="_Toc82957995"/>
      <w:bookmarkStart w:id="399" w:name="_Toc433196232"/>
      <w:bookmarkStart w:id="400" w:name="_Toc14601"/>
      <w:bookmarkStart w:id="401" w:name="_Toc82956240"/>
      <w:r>
        <w:t>4.3.2：重点工序</w:t>
      </w:r>
      <w:bookmarkEnd w:id="392"/>
      <w:bookmarkEnd w:id="393"/>
      <w:bookmarkEnd w:id="394"/>
      <w:bookmarkEnd w:id="395"/>
      <w:bookmarkEnd w:id="396"/>
      <w:bookmarkEnd w:id="397"/>
      <w:bookmarkEnd w:id="398"/>
      <w:bookmarkEnd w:id="399"/>
      <w:bookmarkEnd w:id="400"/>
      <w:bookmarkEnd w:id="401"/>
    </w:p>
    <w:p>
      <w:pPr>
        <w:widowControl w:val="0"/>
        <w:spacing w:before="60" w:line="400" w:lineRule="exact"/>
        <w:ind w:firstLine="560" w:firstLineChars="200"/>
        <w:jc w:val="both"/>
        <w:rPr>
          <w:rFonts w:eastAsia="宋体"/>
          <w:sz w:val="28"/>
          <w:szCs w:val="28"/>
        </w:rPr>
      </w:pPr>
      <w:r>
        <w:rPr>
          <w:rFonts w:eastAsia="宋体"/>
          <w:sz w:val="28"/>
          <w:szCs w:val="28"/>
        </w:rPr>
        <w:t>在分项工程中地下防水混凝土和外防水工序，必须给予重点保证：</w:t>
      </w:r>
    </w:p>
    <w:p>
      <w:pPr>
        <w:widowControl w:val="0"/>
        <w:tabs>
          <w:tab w:val="left" w:pos="1136"/>
        </w:tabs>
        <w:spacing w:before="60" w:line="400" w:lineRule="exact"/>
        <w:ind w:left="697"/>
        <w:jc w:val="both"/>
        <w:rPr>
          <w:rFonts w:eastAsia="宋体"/>
          <w:sz w:val="28"/>
          <w:szCs w:val="28"/>
        </w:rPr>
      </w:pPr>
      <w:r>
        <w:rPr>
          <w:rFonts w:eastAsia="宋体"/>
          <w:sz w:val="28"/>
          <w:szCs w:val="28"/>
        </w:rPr>
        <w:t>１）地下室防水混凝土：主要指地下结构的底板和墙板的混凝土振捣密实，施工缝的处理等；</w:t>
      </w:r>
    </w:p>
    <w:p>
      <w:pPr>
        <w:widowControl w:val="0"/>
        <w:tabs>
          <w:tab w:val="left" w:pos="1136"/>
        </w:tabs>
        <w:spacing w:before="60" w:line="400" w:lineRule="exact"/>
        <w:ind w:left="697"/>
        <w:jc w:val="both"/>
        <w:rPr>
          <w:rFonts w:eastAsia="宋体"/>
          <w:sz w:val="28"/>
          <w:szCs w:val="28"/>
        </w:rPr>
      </w:pPr>
      <w:r>
        <w:rPr>
          <w:rFonts w:eastAsia="宋体"/>
          <w:sz w:val="28"/>
          <w:szCs w:val="28"/>
        </w:rPr>
        <w:t>２）地下室外防水：主要是指地下室底板及外墙防水的施工质量，节点处理和成品保护；</w:t>
      </w:r>
    </w:p>
    <w:p>
      <w:pPr>
        <w:widowControl w:val="0"/>
        <w:tabs>
          <w:tab w:val="left" w:pos="1136"/>
        </w:tabs>
        <w:spacing w:before="60" w:line="400" w:lineRule="exact"/>
        <w:ind w:left="697"/>
        <w:jc w:val="both"/>
        <w:rPr>
          <w:rFonts w:eastAsia="宋体"/>
          <w:sz w:val="28"/>
          <w:szCs w:val="28"/>
        </w:rPr>
      </w:pPr>
      <w:r>
        <w:rPr>
          <w:rFonts w:eastAsia="宋体"/>
          <w:sz w:val="28"/>
          <w:szCs w:val="28"/>
        </w:rPr>
        <w:t>３）干挂混凝土外墙板材料及墙体节点的施工控制。</w:t>
      </w:r>
    </w:p>
    <w:p>
      <w:pPr>
        <w:pStyle w:val="3"/>
      </w:pPr>
      <w:bookmarkStart w:id="402" w:name="_Toc80786759"/>
      <w:bookmarkStart w:id="403" w:name="_Toc87588321"/>
      <w:bookmarkStart w:id="404" w:name="_Toc74372966"/>
      <w:bookmarkStart w:id="405" w:name="_Toc80787044"/>
      <w:bookmarkStart w:id="406" w:name="_Toc78943328"/>
      <w:bookmarkStart w:id="407" w:name="_Toc479630804"/>
      <w:bookmarkStart w:id="408" w:name="_Toc73969034"/>
      <w:bookmarkStart w:id="409" w:name="_Toc82945972"/>
      <w:bookmarkStart w:id="410" w:name="_Toc82957996"/>
      <w:bookmarkStart w:id="411" w:name="_Toc74342383"/>
      <w:bookmarkStart w:id="412" w:name="_Toc80786436"/>
      <w:bookmarkStart w:id="413" w:name="_Toc74372031"/>
      <w:bookmarkStart w:id="414" w:name="_Toc82956241"/>
      <w:bookmarkStart w:id="415" w:name="_Toc74342116"/>
      <w:bookmarkStart w:id="416" w:name="_Toc80786858"/>
      <w:bookmarkStart w:id="417" w:name="_Toc27394"/>
      <w:bookmarkStart w:id="418" w:name="_Toc433196233"/>
      <w:bookmarkStart w:id="419" w:name="_Toc82917190"/>
      <w:bookmarkStart w:id="420" w:name="_Toc12778"/>
      <w:bookmarkStart w:id="421" w:name="_Toc82958440"/>
      <w:bookmarkStart w:id="422" w:name="_Toc80786660"/>
      <w:r>
        <w:t>4.4：施工方案</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pStyle w:val="4"/>
      </w:pPr>
      <w:bookmarkStart w:id="423" w:name="_Toc82945973"/>
      <w:bookmarkStart w:id="424" w:name="_Toc9340"/>
      <w:bookmarkStart w:id="425" w:name="_Toc82957997"/>
      <w:bookmarkStart w:id="426" w:name="_Toc433196234"/>
      <w:bookmarkStart w:id="427" w:name="_Toc82958441"/>
      <w:bookmarkStart w:id="428" w:name="_Toc73969035"/>
      <w:bookmarkStart w:id="429" w:name="_Toc12550"/>
      <w:bookmarkStart w:id="430" w:name="_Toc82956242"/>
      <w:bookmarkStart w:id="431" w:name="_Toc66105652"/>
      <w:bookmarkStart w:id="432" w:name="_Toc87588322"/>
      <w:bookmarkStart w:id="433" w:name="_Toc479630805"/>
      <w:r>
        <w:t>4.4.1：组织流水施工的原则</w:t>
      </w:r>
      <w:bookmarkEnd w:id="423"/>
      <w:bookmarkEnd w:id="424"/>
      <w:bookmarkEnd w:id="425"/>
      <w:bookmarkEnd w:id="426"/>
      <w:bookmarkEnd w:id="427"/>
      <w:bookmarkEnd w:id="428"/>
      <w:bookmarkEnd w:id="429"/>
      <w:bookmarkEnd w:id="430"/>
      <w:bookmarkEnd w:id="431"/>
      <w:bookmarkEnd w:id="432"/>
    </w:p>
    <w:bookmarkEnd w:id="433"/>
    <w:p>
      <w:pPr>
        <w:widowControl w:val="0"/>
        <w:spacing w:before="60" w:line="400" w:lineRule="exact"/>
        <w:ind w:firstLine="560" w:firstLineChars="200"/>
        <w:jc w:val="both"/>
        <w:rPr>
          <w:rFonts w:eastAsia="宋体"/>
          <w:sz w:val="28"/>
          <w:szCs w:val="28"/>
        </w:rPr>
      </w:pPr>
      <w:r>
        <w:rPr>
          <w:rFonts w:eastAsia="宋体"/>
          <w:sz w:val="28"/>
          <w:szCs w:val="28"/>
        </w:rPr>
        <w:t>根据本工程特点及业主提出的初步建设时间规划，为确保工程进度控制点（即各里程碑事件）全面实施，本工程应抓紧前期施工，以便将时间尽量提前，为设备安装工程以及室外竖向工程施工提供场地（工作面）、创造条件、争取时间。</w:t>
      </w:r>
    </w:p>
    <w:p>
      <w:pPr>
        <w:pStyle w:val="5"/>
        <w:keepNext w:val="0"/>
        <w:spacing w:before="60" w:line="400" w:lineRule="exact"/>
        <w:ind w:firstLine="728"/>
        <w:jc w:val="both"/>
        <w:rPr>
          <w:rFonts w:eastAsia="宋体"/>
          <w:b w:val="0"/>
          <w:color w:val="auto"/>
          <w:sz w:val="28"/>
        </w:rPr>
      </w:pPr>
      <w:bookmarkStart w:id="434" w:name="_Toc66105653"/>
      <w:bookmarkStart w:id="435" w:name="_Toc73969036"/>
      <w:r>
        <w:rPr>
          <w:rFonts w:eastAsia="宋体"/>
          <w:b w:val="0"/>
          <w:color w:val="auto"/>
          <w:sz w:val="28"/>
        </w:rPr>
        <w:t>1）总体规划</w:t>
      </w:r>
      <w:bookmarkEnd w:id="434"/>
      <w:bookmarkEnd w:id="435"/>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1 \* GB3 \* MERGEFORMAT </w:instrText>
      </w:r>
      <w:r>
        <w:rPr>
          <w:rFonts w:eastAsia="宋体"/>
          <w:sz w:val="28"/>
          <w:szCs w:val="28"/>
        </w:rPr>
        <w:fldChar w:fldCharType="separate"/>
      </w:r>
      <w:r>
        <w:rPr>
          <w:rFonts w:hint="eastAsia" w:ascii="宋体" w:hAnsi="宋体" w:eastAsia="宋体" w:cs="宋体"/>
          <w:sz w:val="28"/>
          <w:szCs w:val="28"/>
        </w:rPr>
        <w:t>①</w:t>
      </w:r>
      <w:r>
        <w:rPr>
          <w:rFonts w:eastAsia="宋体"/>
          <w:sz w:val="28"/>
          <w:szCs w:val="28"/>
        </w:rPr>
        <w:fldChar w:fldCharType="end"/>
      </w:r>
      <w:r>
        <w:rPr>
          <w:rFonts w:eastAsia="宋体"/>
          <w:sz w:val="28"/>
          <w:szCs w:val="28"/>
        </w:rPr>
        <w:t>分区段组织人力、物力、财力，实施平行流水作业；</w:t>
      </w:r>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2 \* GB3 \* MERGEFORMAT </w:instrText>
      </w:r>
      <w:r>
        <w:rPr>
          <w:rFonts w:eastAsia="宋体"/>
          <w:sz w:val="28"/>
          <w:szCs w:val="28"/>
        </w:rPr>
        <w:fldChar w:fldCharType="separate"/>
      </w:r>
      <w:r>
        <w:rPr>
          <w:rFonts w:hint="eastAsia" w:ascii="宋体" w:hAnsi="宋体" w:eastAsia="宋体" w:cs="宋体"/>
          <w:sz w:val="28"/>
          <w:szCs w:val="28"/>
        </w:rPr>
        <w:t>②</w:t>
      </w:r>
      <w:r>
        <w:rPr>
          <w:rFonts w:eastAsia="宋体"/>
          <w:sz w:val="28"/>
          <w:szCs w:val="28"/>
        </w:rPr>
        <w:fldChar w:fldCharType="end"/>
      </w:r>
      <w:r>
        <w:rPr>
          <w:rFonts w:eastAsia="宋体"/>
          <w:sz w:val="28"/>
          <w:szCs w:val="28"/>
        </w:rPr>
        <w:t>按照“先地下、后地上，先主体、后配套，先结构、后装修”的顺序组织施工；</w:t>
      </w:r>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3 \* GB3 \* MERGEFORMAT </w:instrText>
      </w:r>
      <w:r>
        <w:rPr>
          <w:rFonts w:eastAsia="宋体"/>
          <w:sz w:val="28"/>
          <w:szCs w:val="28"/>
        </w:rPr>
        <w:fldChar w:fldCharType="separate"/>
      </w:r>
      <w:r>
        <w:rPr>
          <w:rFonts w:hint="eastAsia" w:ascii="宋体" w:hAnsi="宋体" w:eastAsia="宋体" w:cs="宋体"/>
          <w:sz w:val="28"/>
          <w:szCs w:val="28"/>
        </w:rPr>
        <w:t>③</w:t>
      </w:r>
      <w:r>
        <w:rPr>
          <w:rFonts w:eastAsia="宋体"/>
          <w:sz w:val="28"/>
          <w:szCs w:val="28"/>
        </w:rPr>
        <w:fldChar w:fldCharType="end"/>
      </w:r>
      <w:r>
        <w:rPr>
          <w:rFonts w:eastAsia="宋体"/>
          <w:sz w:val="28"/>
          <w:szCs w:val="28"/>
        </w:rPr>
        <w:t>各工序有序联结，保证各专业按总进度控制要求完工并交付设备安装调试；</w:t>
      </w:r>
    </w:p>
    <w:p>
      <w:pPr>
        <w:pStyle w:val="5"/>
        <w:keepNext w:val="0"/>
        <w:spacing w:before="60" w:line="400" w:lineRule="exact"/>
        <w:ind w:firstLine="728"/>
        <w:jc w:val="both"/>
        <w:rPr>
          <w:rFonts w:eastAsia="宋体"/>
          <w:b w:val="0"/>
          <w:color w:val="auto"/>
          <w:sz w:val="28"/>
        </w:rPr>
      </w:pPr>
      <w:bookmarkStart w:id="436" w:name="_Toc66105654"/>
      <w:bookmarkStart w:id="437" w:name="_Toc73969037"/>
      <w:r>
        <w:rPr>
          <w:rFonts w:eastAsia="宋体"/>
          <w:b w:val="0"/>
          <w:color w:val="auto"/>
          <w:sz w:val="28"/>
        </w:rPr>
        <w:t>2）具体原则</w:t>
      </w:r>
      <w:bookmarkEnd w:id="436"/>
      <w:bookmarkEnd w:id="437"/>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1 \* GB3 \* MERGEFORMAT </w:instrText>
      </w:r>
      <w:r>
        <w:rPr>
          <w:rFonts w:eastAsia="宋体"/>
          <w:sz w:val="28"/>
          <w:szCs w:val="28"/>
        </w:rPr>
        <w:fldChar w:fldCharType="separate"/>
      </w:r>
      <w:r>
        <w:rPr>
          <w:rFonts w:hint="eastAsia" w:ascii="宋体" w:hAnsi="宋体" w:eastAsia="宋体" w:cs="宋体"/>
          <w:sz w:val="28"/>
          <w:szCs w:val="28"/>
        </w:rPr>
        <w:t>①</w:t>
      </w:r>
      <w:r>
        <w:rPr>
          <w:rFonts w:eastAsia="宋体"/>
          <w:sz w:val="28"/>
          <w:szCs w:val="28"/>
        </w:rPr>
        <w:fldChar w:fldCharType="end"/>
      </w:r>
      <w:r>
        <w:rPr>
          <w:rFonts w:eastAsia="宋体"/>
          <w:sz w:val="28"/>
          <w:szCs w:val="28"/>
        </w:rPr>
        <w:t>各工区、各施工段中各楼层、各主要工序尽量按照等节拍、等流水步距的原则组织流水施工；</w:t>
      </w:r>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2 \* GB3 \* MERGEFORMAT </w:instrText>
      </w:r>
      <w:r>
        <w:rPr>
          <w:rFonts w:eastAsia="宋体"/>
          <w:sz w:val="28"/>
          <w:szCs w:val="28"/>
        </w:rPr>
        <w:fldChar w:fldCharType="separate"/>
      </w:r>
      <w:r>
        <w:rPr>
          <w:rFonts w:hint="eastAsia" w:ascii="宋体" w:hAnsi="宋体" w:eastAsia="宋体" w:cs="宋体"/>
          <w:sz w:val="28"/>
          <w:szCs w:val="28"/>
        </w:rPr>
        <w:t>②</w:t>
      </w:r>
      <w:r>
        <w:rPr>
          <w:rFonts w:eastAsia="宋体"/>
          <w:sz w:val="28"/>
          <w:szCs w:val="28"/>
        </w:rPr>
        <w:fldChar w:fldCharType="end"/>
      </w:r>
      <w:r>
        <w:rPr>
          <w:rFonts w:eastAsia="宋体"/>
          <w:sz w:val="28"/>
          <w:szCs w:val="28"/>
        </w:rPr>
        <w:t>在保持各工区、各施工段相对独立的前提下，统一调动整个现场的操作工人，充分利用人力资源，避免窝工现象；</w:t>
      </w:r>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3 \* GB3 \* MERGEFORMAT </w:instrText>
      </w:r>
      <w:r>
        <w:rPr>
          <w:rFonts w:eastAsia="宋体"/>
          <w:sz w:val="28"/>
          <w:szCs w:val="28"/>
        </w:rPr>
        <w:fldChar w:fldCharType="separate"/>
      </w:r>
      <w:r>
        <w:rPr>
          <w:rFonts w:hint="eastAsia" w:ascii="宋体" w:hAnsi="宋体" w:eastAsia="宋体" w:cs="宋体"/>
          <w:sz w:val="28"/>
          <w:szCs w:val="28"/>
        </w:rPr>
        <w:t>③</w:t>
      </w:r>
      <w:r>
        <w:rPr>
          <w:rFonts w:eastAsia="宋体"/>
          <w:sz w:val="28"/>
          <w:szCs w:val="28"/>
        </w:rPr>
        <w:fldChar w:fldCharType="end"/>
      </w:r>
      <w:r>
        <w:rPr>
          <w:rFonts w:eastAsia="宋体"/>
          <w:sz w:val="28"/>
          <w:szCs w:val="28"/>
        </w:rPr>
        <w:t>在保持各区、各施工段机械设备相对独立性条件下，统一调动（使用）现场各主要机械、设备及三大工具，尤其是塔吊等动态垂直运输工具和混凝土运输车、混凝土输送泵等混凝土施工设备，充分利用物质资源；</w:t>
      </w:r>
    </w:p>
    <w:p>
      <w:pPr>
        <w:widowControl w:val="0"/>
        <w:tabs>
          <w:tab w:val="left" w:pos="1136"/>
        </w:tabs>
        <w:spacing w:before="60" w:line="400" w:lineRule="exact"/>
        <w:ind w:left="697"/>
        <w:jc w:val="both"/>
        <w:rPr>
          <w:rFonts w:eastAsia="宋体"/>
          <w:sz w:val="28"/>
          <w:szCs w:val="28"/>
        </w:rPr>
      </w:pPr>
      <w:r>
        <w:rPr>
          <w:rFonts w:eastAsia="宋体"/>
          <w:sz w:val="28"/>
          <w:szCs w:val="28"/>
        </w:rPr>
        <w:fldChar w:fldCharType="begin"/>
      </w:r>
      <w:r>
        <w:rPr>
          <w:rFonts w:eastAsia="宋体"/>
          <w:sz w:val="28"/>
          <w:szCs w:val="28"/>
        </w:rPr>
        <w:instrText xml:space="preserve"> = 4 \* GB3 \* MERGEFORMAT </w:instrText>
      </w:r>
      <w:r>
        <w:rPr>
          <w:rFonts w:eastAsia="宋体"/>
          <w:sz w:val="28"/>
          <w:szCs w:val="28"/>
        </w:rPr>
        <w:fldChar w:fldCharType="separate"/>
      </w:r>
      <w:r>
        <w:rPr>
          <w:rFonts w:hint="eastAsia" w:ascii="宋体" w:hAnsi="宋体" w:eastAsia="宋体" w:cs="宋体"/>
          <w:sz w:val="28"/>
          <w:szCs w:val="28"/>
        </w:rPr>
        <w:t>④</w:t>
      </w:r>
      <w:r>
        <w:rPr>
          <w:rFonts w:eastAsia="宋体"/>
          <w:sz w:val="28"/>
          <w:szCs w:val="28"/>
        </w:rPr>
        <w:fldChar w:fldCharType="end"/>
      </w:r>
      <w:r>
        <w:rPr>
          <w:rFonts w:eastAsia="宋体"/>
          <w:sz w:val="28"/>
          <w:szCs w:val="28"/>
        </w:rPr>
        <w:t>门窗、石材等工厂制作材料构件与现场施工同步进行，并确保现场施工进度的需求；</w:t>
      </w:r>
    </w:p>
    <w:p>
      <w:pPr>
        <w:pStyle w:val="4"/>
      </w:pPr>
      <w:bookmarkStart w:id="438" w:name="_Toc82945975"/>
      <w:bookmarkStart w:id="439" w:name="_Toc87588324"/>
      <w:bookmarkStart w:id="440" w:name="_Toc82956244"/>
      <w:bookmarkStart w:id="441" w:name="_Toc14241"/>
      <w:bookmarkStart w:id="442" w:name="_Toc66105656"/>
      <w:bookmarkStart w:id="443" w:name="_Toc73969039"/>
      <w:bookmarkStart w:id="444" w:name="_Toc9574"/>
      <w:bookmarkStart w:id="445" w:name="_Toc433196235"/>
      <w:bookmarkStart w:id="446" w:name="_Toc82958443"/>
      <w:bookmarkStart w:id="447" w:name="_Toc82957999"/>
      <w:bookmarkStart w:id="448" w:name="_Toc479630807"/>
      <w:r>
        <w:t>4.4.2：工作段的划分</w:t>
      </w:r>
      <w:bookmarkEnd w:id="438"/>
      <w:bookmarkEnd w:id="439"/>
      <w:bookmarkEnd w:id="440"/>
      <w:bookmarkEnd w:id="441"/>
      <w:bookmarkEnd w:id="442"/>
      <w:bookmarkEnd w:id="443"/>
      <w:bookmarkEnd w:id="444"/>
      <w:bookmarkEnd w:id="445"/>
      <w:bookmarkEnd w:id="446"/>
      <w:bookmarkEnd w:id="447"/>
    </w:p>
    <w:p>
      <w:pPr>
        <w:widowControl w:val="0"/>
        <w:spacing w:before="60" w:line="400" w:lineRule="exact"/>
        <w:ind w:left="3" w:leftChars="1" w:firstLine="560" w:firstLineChars="200"/>
        <w:jc w:val="both"/>
        <w:rPr>
          <w:rFonts w:eastAsia="宋体"/>
          <w:sz w:val="28"/>
          <w:szCs w:val="28"/>
        </w:rPr>
      </w:pPr>
      <w:r>
        <w:rPr>
          <w:rFonts w:eastAsia="宋体"/>
          <w:sz w:val="28"/>
          <w:szCs w:val="28"/>
        </w:rPr>
        <w:t>根据工程形体特征及工程量将本工程划分为四个施工段：L-R轴为第一施工段，F-L轴为第二施工段，A-F轴为第三施工段，A-A/A轴为第四施工段，各个施工段进行流水施工。</w:t>
      </w:r>
    </w:p>
    <w:bookmarkEnd w:id="448"/>
    <w:p>
      <w:pPr>
        <w:pStyle w:val="4"/>
      </w:pPr>
      <w:bookmarkStart w:id="449" w:name="_Toc82945976"/>
      <w:bookmarkStart w:id="450" w:name="_Toc9822"/>
      <w:bookmarkStart w:id="451" w:name="_Toc433196236"/>
      <w:bookmarkStart w:id="452" w:name="_Toc66105660"/>
      <w:bookmarkStart w:id="453" w:name="_Toc82956245"/>
      <w:bookmarkStart w:id="454" w:name="_Toc87588325"/>
      <w:bookmarkStart w:id="455" w:name="_Toc82958000"/>
      <w:bookmarkStart w:id="456" w:name="_Toc3943"/>
      <w:bookmarkStart w:id="457" w:name="_Toc73969040"/>
      <w:bookmarkStart w:id="458" w:name="_Toc82958444"/>
      <w:bookmarkStart w:id="459" w:name="_Toc479630808"/>
      <w:r>
        <w:t>4.4.3：总体施工流程确定</w:t>
      </w:r>
      <w:bookmarkEnd w:id="449"/>
      <w:bookmarkEnd w:id="450"/>
      <w:bookmarkEnd w:id="451"/>
      <w:bookmarkEnd w:id="452"/>
      <w:bookmarkEnd w:id="453"/>
      <w:bookmarkEnd w:id="454"/>
      <w:bookmarkEnd w:id="455"/>
      <w:bookmarkEnd w:id="456"/>
      <w:bookmarkEnd w:id="457"/>
      <w:bookmarkEnd w:id="458"/>
    </w:p>
    <w:bookmarkEnd w:id="459"/>
    <w:p>
      <w:pPr>
        <w:widowControl w:val="0"/>
        <w:spacing w:before="60" w:line="400" w:lineRule="exact"/>
        <w:ind w:firstLine="560" w:firstLineChars="200"/>
        <w:jc w:val="both"/>
        <w:rPr>
          <w:rFonts w:eastAsia="宋体"/>
          <w:sz w:val="28"/>
          <w:szCs w:val="28"/>
        </w:rPr>
      </w:pPr>
      <w:r>
        <w:rPr>
          <w:rFonts w:eastAsia="宋体"/>
          <w:sz w:val="28"/>
          <w:szCs w:val="28"/>
        </w:rPr>
        <w:t>总体流程按照以下顺序：</w:t>
      </w:r>
    </w:p>
    <w:p>
      <w:pPr>
        <w:widowControl w:val="0"/>
        <w:spacing w:before="60" w:line="400" w:lineRule="exact"/>
        <w:ind w:firstLine="560" w:firstLineChars="200"/>
        <w:jc w:val="both"/>
        <w:rPr>
          <w:rFonts w:eastAsia="宋体"/>
          <w:sz w:val="28"/>
          <w:szCs w:val="28"/>
        </w:rPr>
      </w:pPr>
      <w:r>
        <w:rPr>
          <w:rFonts w:eastAsia="宋体"/>
          <w:sz w:val="28"/>
          <w:szCs w:val="28"/>
        </w:rPr>
        <w:t>场平定位</w:t>
      </w:r>
      <w:r>
        <w:rPr>
          <w:rFonts w:eastAsia="宋体"/>
          <w:sz w:val="28"/>
          <w:szCs w:val="28"/>
        </w:rPr>
        <w:sym w:font="Wingdings" w:char="F0E8"/>
      </w:r>
      <w:r>
        <w:rPr>
          <w:rFonts w:eastAsia="宋体"/>
          <w:sz w:val="28"/>
          <w:szCs w:val="28"/>
        </w:rPr>
        <w:t>基坑井点降水</w:t>
      </w:r>
      <w:r>
        <w:rPr>
          <w:rFonts w:eastAsia="宋体"/>
          <w:sz w:val="28"/>
          <w:szCs w:val="28"/>
        </w:rPr>
        <w:sym w:font="Wingdings" w:char="F0E8"/>
      </w:r>
      <w:r>
        <w:rPr>
          <w:rFonts w:eastAsia="宋体"/>
          <w:sz w:val="28"/>
          <w:szCs w:val="28"/>
        </w:rPr>
        <w:t>土方开挖</w:t>
      </w:r>
      <w:r>
        <w:rPr>
          <w:rFonts w:eastAsia="宋体"/>
          <w:sz w:val="28"/>
          <w:szCs w:val="28"/>
        </w:rPr>
        <w:sym w:font="Wingdings" w:char="F0E8"/>
      </w:r>
      <w:r>
        <w:rPr>
          <w:rFonts w:eastAsia="宋体"/>
          <w:sz w:val="28"/>
          <w:szCs w:val="28"/>
        </w:rPr>
        <w:t>边坡支护</w:t>
      </w:r>
      <w:r>
        <w:rPr>
          <w:rFonts w:eastAsia="宋体"/>
          <w:sz w:val="28"/>
          <w:szCs w:val="28"/>
        </w:rPr>
        <w:sym w:font="Wingdings" w:char="F0E8"/>
      </w:r>
      <w:r>
        <w:rPr>
          <w:rFonts w:eastAsia="宋体"/>
          <w:sz w:val="28"/>
          <w:szCs w:val="28"/>
        </w:rPr>
        <w:t>静压预应力管桩施工</w:t>
      </w:r>
      <w:r>
        <w:rPr>
          <w:rFonts w:eastAsia="宋体"/>
          <w:sz w:val="28"/>
          <w:szCs w:val="28"/>
        </w:rPr>
        <w:sym w:font="Wingdings" w:char="F0E8"/>
      </w:r>
      <w:r>
        <w:rPr>
          <w:rFonts w:eastAsia="宋体"/>
          <w:sz w:val="28"/>
          <w:szCs w:val="28"/>
        </w:rPr>
        <w:t>基础土方二次开挖</w:t>
      </w:r>
      <w:r>
        <w:rPr>
          <w:rFonts w:eastAsia="宋体"/>
          <w:sz w:val="28"/>
          <w:szCs w:val="28"/>
        </w:rPr>
        <w:sym w:font="Wingdings" w:char="F0E8"/>
      </w:r>
      <w:r>
        <w:rPr>
          <w:rFonts w:eastAsia="宋体"/>
          <w:sz w:val="28"/>
          <w:szCs w:val="28"/>
        </w:rPr>
        <w:t>边坡二次支护</w:t>
      </w:r>
      <w:r>
        <w:rPr>
          <w:rFonts w:eastAsia="宋体"/>
          <w:sz w:val="28"/>
          <w:szCs w:val="28"/>
        </w:rPr>
        <w:sym w:font="Wingdings" w:char="F0E8"/>
      </w:r>
      <w:r>
        <w:rPr>
          <w:rFonts w:eastAsia="宋体"/>
          <w:sz w:val="28"/>
          <w:szCs w:val="28"/>
        </w:rPr>
        <w:t>基础垫层</w:t>
      </w:r>
      <w:r>
        <w:rPr>
          <w:rFonts w:eastAsia="宋体"/>
          <w:sz w:val="28"/>
          <w:szCs w:val="28"/>
        </w:rPr>
        <w:sym w:font="Wingdings" w:char="F0E8"/>
      </w:r>
      <w:r>
        <w:rPr>
          <w:rFonts w:eastAsia="宋体"/>
          <w:sz w:val="28"/>
          <w:szCs w:val="28"/>
        </w:rPr>
        <w:t>地下室结构施工</w:t>
      </w:r>
      <w:r>
        <w:rPr>
          <w:rFonts w:eastAsia="宋体"/>
          <w:sz w:val="28"/>
          <w:szCs w:val="28"/>
        </w:rPr>
        <w:sym w:font="Wingdings" w:char="F0E8"/>
      </w:r>
      <w:r>
        <w:rPr>
          <w:rFonts w:eastAsia="宋体"/>
          <w:sz w:val="28"/>
          <w:szCs w:val="28"/>
        </w:rPr>
        <w:t>土方回填</w:t>
      </w:r>
      <w:r>
        <w:rPr>
          <w:rFonts w:eastAsia="宋体"/>
          <w:sz w:val="28"/>
          <w:szCs w:val="28"/>
        </w:rPr>
        <w:sym w:font="Wingdings" w:char="F0E8"/>
      </w:r>
      <w:r>
        <w:rPr>
          <w:rFonts w:eastAsia="宋体"/>
          <w:sz w:val="28"/>
          <w:szCs w:val="28"/>
        </w:rPr>
        <w:t>上部主体结构施工</w:t>
      </w:r>
      <w:r>
        <w:rPr>
          <w:rFonts w:eastAsia="宋体"/>
          <w:sz w:val="28"/>
          <w:szCs w:val="28"/>
        </w:rPr>
        <w:sym w:font="Wingdings" w:char="F0E8"/>
      </w:r>
      <w:r>
        <w:rPr>
          <w:rFonts w:eastAsia="宋体"/>
          <w:sz w:val="28"/>
          <w:szCs w:val="28"/>
        </w:rPr>
        <w:t>屋面施工</w:t>
      </w:r>
      <w:r>
        <w:rPr>
          <w:rFonts w:eastAsia="宋体"/>
          <w:sz w:val="28"/>
          <w:szCs w:val="28"/>
        </w:rPr>
        <w:sym w:font="Wingdings" w:char="F0E8"/>
      </w:r>
      <w:r>
        <w:rPr>
          <w:rFonts w:eastAsia="宋体"/>
          <w:sz w:val="28"/>
          <w:szCs w:val="28"/>
        </w:rPr>
        <w:t>室内外装饰、专业安装施工</w:t>
      </w:r>
      <w:r>
        <w:rPr>
          <w:rFonts w:eastAsia="宋体"/>
          <w:sz w:val="28"/>
          <w:szCs w:val="28"/>
        </w:rPr>
        <w:sym w:font="Wingdings" w:char="F0E8"/>
      </w:r>
      <w:r>
        <w:rPr>
          <w:rFonts w:eastAsia="宋体"/>
          <w:sz w:val="28"/>
          <w:szCs w:val="28"/>
        </w:rPr>
        <w:t>室外管网及场地硬化</w:t>
      </w:r>
      <w:r>
        <w:rPr>
          <w:rFonts w:eastAsia="宋体"/>
          <w:sz w:val="28"/>
          <w:szCs w:val="28"/>
        </w:rPr>
        <w:sym w:font="Wingdings" w:char="F0E8"/>
      </w:r>
      <w:r>
        <w:rPr>
          <w:rFonts w:eastAsia="宋体"/>
          <w:sz w:val="28"/>
          <w:szCs w:val="28"/>
        </w:rPr>
        <w:t>收尾、竣工。</w:t>
      </w:r>
    </w:p>
    <w:p>
      <w:pPr>
        <w:pStyle w:val="4"/>
      </w:pPr>
      <w:bookmarkStart w:id="460" w:name="_Toc82945977"/>
      <w:bookmarkStart w:id="461" w:name="_Toc9378"/>
      <w:bookmarkStart w:id="462" w:name="_Toc82958445"/>
      <w:bookmarkStart w:id="463" w:name="_Toc87588326"/>
      <w:bookmarkStart w:id="464" w:name="_Toc82956246"/>
      <w:bookmarkStart w:id="465" w:name="_Toc433196237"/>
      <w:bookmarkStart w:id="466" w:name="_Toc12192"/>
      <w:bookmarkStart w:id="467" w:name="_Toc82958001"/>
      <w:r>
        <w:t>4.4.4：主要施工方法的确定</w:t>
      </w:r>
      <w:bookmarkEnd w:id="460"/>
      <w:bookmarkEnd w:id="461"/>
      <w:bookmarkEnd w:id="462"/>
      <w:bookmarkEnd w:id="463"/>
      <w:bookmarkEnd w:id="464"/>
      <w:bookmarkEnd w:id="465"/>
      <w:bookmarkEnd w:id="466"/>
      <w:bookmarkEnd w:id="467"/>
    </w:p>
    <w:p>
      <w:pPr>
        <w:widowControl w:val="0"/>
        <w:spacing w:before="60" w:line="400" w:lineRule="exact"/>
        <w:ind w:firstLine="560" w:firstLineChars="200"/>
        <w:jc w:val="both"/>
        <w:rPr>
          <w:rFonts w:eastAsia="宋体"/>
          <w:sz w:val="28"/>
          <w:szCs w:val="28"/>
        </w:rPr>
      </w:pPr>
      <w:r>
        <w:rPr>
          <w:rFonts w:eastAsia="宋体"/>
          <w:sz w:val="28"/>
          <w:szCs w:val="28"/>
        </w:rPr>
        <w:t>土建工程作为量大面广的关键工序，必须充分利用机械化作业，提高劳动生产率，减少人员投入；安装工程应紧密配合土建，同步跟进。按此原则选定其主要的施工方法为：</w:t>
      </w:r>
    </w:p>
    <w:p>
      <w:pPr>
        <w:widowControl w:val="0"/>
        <w:tabs>
          <w:tab w:val="left" w:pos="1136"/>
        </w:tabs>
        <w:spacing w:before="60" w:line="400" w:lineRule="exact"/>
        <w:ind w:left="697"/>
        <w:jc w:val="both"/>
        <w:rPr>
          <w:rFonts w:hint="eastAsia" w:eastAsia="宋体"/>
          <w:sz w:val="28"/>
          <w:szCs w:val="28"/>
        </w:rPr>
      </w:pPr>
      <w:r>
        <w:rPr>
          <w:rFonts w:eastAsia="宋体"/>
          <w:sz w:val="28"/>
          <w:szCs w:val="28"/>
        </w:rPr>
        <w:t>1）建筑物的测量定位</w:t>
      </w:r>
    </w:p>
    <w:p>
      <w:pPr>
        <w:widowControl w:val="0"/>
        <w:spacing w:before="60" w:line="400" w:lineRule="exact"/>
        <w:ind w:firstLine="560" w:firstLineChars="200"/>
        <w:jc w:val="both"/>
        <w:rPr>
          <w:rFonts w:eastAsia="宋体"/>
          <w:sz w:val="28"/>
          <w:szCs w:val="28"/>
        </w:rPr>
      </w:pPr>
      <w:r>
        <w:rPr>
          <w:rFonts w:eastAsia="宋体"/>
          <w:sz w:val="28"/>
          <w:szCs w:val="28"/>
        </w:rPr>
        <w:t>采用激光经纬仪与100m钢尺综合测控技术控制平面轴线，运用激光水准仪、100m钢尺控制楼层标高。</w:t>
      </w:r>
    </w:p>
    <w:p>
      <w:pPr>
        <w:widowControl w:val="0"/>
        <w:tabs>
          <w:tab w:val="left" w:pos="1136"/>
        </w:tabs>
        <w:spacing w:before="60" w:line="400" w:lineRule="exact"/>
        <w:ind w:left="697"/>
        <w:jc w:val="both"/>
        <w:rPr>
          <w:rFonts w:eastAsia="宋体"/>
          <w:sz w:val="28"/>
          <w:szCs w:val="28"/>
        </w:rPr>
      </w:pPr>
      <w:r>
        <w:rPr>
          <w:rFonts w:eastAsia="宋体"/>
          <w:sz w:val="28"/>
          <w:szCs w:val="28"/>
        </w:rPr>
        <w:t>2）预制桩基础</w:t>
      </w:r>
    </w:p>
    <w:p>
      <w:pPr>
        <w:widowControl w:val="0"/>
        <w:spacing w:before="60" w:line="400" w:lineRule="exact"/>
        <w:ind w:firstLine="560" w:firstLineChars="200"/>
        <w:jc w:val="both"/>
        <w:rPr>
          <w:rFonts w:eastAsia="宋体"/>
          <w:sz w:val="28"/>
          <w:szCs w:val="28"/>
        </w:rPr>
      </w:pPr>
      <w:r>
        <w:rPr>
          <w:rFonts w:eastAsia="宋体"/>
          <w:sz w:val="28"/>
          <w:szCs w:val="28"/>
        </w:rPr>
        <w:t>基础为预制管桩，采用静力压桩机施工。</w:t>
      </w:r>
    </w:p>
    <w:p>
      <w:pPr>
        <w:widowControl w:val="0"/>
        <w:tabs>
          <w:tab w:val="left" w:pos="1136"/>
        </w:tabs>
        <w:spacing w:before="60" w:line="400" w:lineRule="exact"/>
        <w:ind w:left="697"/>
        <w:jc w:val="both"/>
        <w:rPr>
          <w:rFonts w:eastAsia="宋体"/>
          <w:sz w:val="28"/>
          <w:szCs w:val="28"/>
        </w:rPr>
      </w:pPr>
      <w:r>
        <w:rPr>
          <w:rFonts w:eastAsia="宋体"/>
          <w:sz w:val="28"/>
          <w:szCs w:val="28"/>
        </w:rPr>
        <w:t>3）土方工程</w:t>
      </w:r>
    </w:p>
    <w:p>
      <w:pPr>
        <w:widowControl w:val="0"/>
        <w:spacing w:before="60" w:line="400" w:lineRule="exact"/>
        <w:ind w:firstLine="560" w:firstLineChars="200"/>
        <w:jc w:val="both"/>
        <w:rPr>
          <w:rFonts w:eastAsia="宋体"/>
          <w:sz w:val="28"/>
          <w:szCs w:val="28"/>
        </w:rPr>
      </w:pPr>
      <w:r>
        <w:rPr>
          <w:rFonts w:eastAsia="宋体"/>
          <w:sz w:val="28"/>
          <w:szCs w:val="28"/>
        </w:rPr>
        <w:t>土方开挖采用机械开挖、运输，辅以人工配合，以便于尽快完成场地平整工作，为后续工作提供工作面。而基槽（基坑）开挖采用机械作业，人工配合的方法。室内、外回填采用机械回填，人工分层碾压夯实。</w:t>
      </w:r>
    </w:p>
    <w:p>
      <w:pPr>
        <w:widowControl w:val="0"/>
        <w:tabs>
          <w:tab w:val="left" w:pos="1136"/>
        </w:tabs>
        <w:spacing w:before="60" w:line="400" w:lineRule="exact"/>
        <w:ind w:left="697"/>
        <w:jc w:val="both"/>
        <w:rPr>
          <w:rFonts w:eastAsia="宋体"/>
          <w:sz w:val="28"/>
          <w:szCs w:val="28"/>
        </w:rPr>
      </w:pPr>
      <w:r>
        <w:rPr>
          <w:rFonts w:eastAsia="宋体"/>
          <w:sz w:val="28"/>
          <w:szCs w:val="28"/>
        </w:rPr>
        <w:t>4）钢筋工程</w:t>
      </w:r>
    </w:p>
    <w:p>
      <w:pPr>
        <w:widowControl w:val="0"/>
        <w:spacing w:before="60" w:line="400" w:lineRule="exact"/>
        <w:ind w:firstLine="560" w:firstLineChars="200"/>
        <w:jc w:val="both"/>
        <w:rPr>
          <w:rFonts w:eastAsia="宋体"/>
          <w:iCs/>
          <w:sz w:val="28"/>
          <w:szCs w:val="28"/>
        </w:rPr>
      </w:pPr>
      <w:r>
        <w:rPr>
          <w:rFonts w:eastAsia="宋体"/>
          <w:sz w:val="28"/>
          <w:szCs w:val="28"/>
        </w:rPr>
        <w:t>采用各区分区制作，现场绑扎、焊接或机械连接。现场柱、墙纵向主筋ø≥16mm的部分钢筋连接采用电渣压力焊方法，对于梁主筋ø≥22mm的部分钢筋连接采用直螺纹链接。</w:t>
      </w:r>
    </w:p>
    <w:p>
      <w:pPr>
        <w:widowControl w:val="0"/>
        <w:tabs>
          <w:tab w:val="left" w:pos="1136"/>
        </w:tabs>
        <w:spacing w:before="60" w:line="400" w:lineRule="exact"/>
        <w:ind w:left="697"/>
        <w:jc w:val="both"/>
        <w:rPr>
          <w:rFonts w:eastAsia="宋体"/>
          <w:sz w:val="28"/>
          <w:szCs w:val="28"/>
        </w:rPr>
      </w:pPr>
      <w:r>
        <w:rPr>
          <w:rFonts w:eastAsia="宋体"/>
          <w:sz w:val="28"/>
          <w:szCs w:val="28"/>
        </w:rPr>
        <w:t>5）模板工程</w:t>
      </w:r>
    </w:p>
    <w:p>
      <w:pPr>
        <w:widowControl w:val="0"/>
        <w:spacing w:before="60" w:line="400" w:lineRule="exact"/>
        <w:ind w:firstLine="560" w:firstLineChars="200"/>
        <w:jc w:val="both"/>
        <w:rPr>
          <w:rFonts w:eastAsia="宋体"/>
          <w:sz w:val="28"/>
          <w:szCs w:val="28"/>
        </w:rPr>
      </w:pPr>
      <w:r>
        <w:rPr>
          <w:rFonts w:eastAsia="宋体"/>
          <w:sz w:val="28"/>
          <w:szCs w:val="28"/>
        </w:rPr>
        <w:t>采用双面覆膜漆面木模板15mm厚；</w:t>
      </w:r>
    </w:p>
    <w:p>
      <w:pPr>
        <w:widowControl w:val="0"/>
        <w:spacing w:before="60" w:line="400" w:lineRule="exact"/>
        <w:ind w:firstLine="560" w:firstLineChars="200"/>
        <w:jc w:val="both"/>
        <w:rPr>
          <w:rFonts w:eastAsia="宋体"/>
          <w:sz w:val="28"/>
          <w:szCs w:val="28"/>
        </w:rPr>
      </w:pPr>
      <w:r>
        <w:rPr>
          <w:rFonts w:eastAsia="宋体"/>
          <w:sz w:val="28"/>
          <w:szCs w:val="28"/>
        </w:rPr>
        <w:t>框架剪力墙、柱采用双面覆膜漆面木模板，以达到清水混凝土效果；</w:t>
      </w:r>
    </w:p>
    <w:p>
      <w:pPr>
        <w:widowControl w:val="0"/>
        <w:spacing w:before="60" w:line="400" w:lineRule="exact"/>
        <w:ind w:firstLine="560" w:firstLineChars="200"/>
        <w:jc w:val="both"/>
        <w:rPr>
          <w:rFonts w:eastAsia="宋体"/>
          <w:sz w:val="28"/>
          <w:szCs w:val="28"/>
        </w:rPr>
      </w:pPr>
      <w:r>
        <w:rPr>
          <w:rFonts w:eastAsia="宋体"/>
          <w:sz w:val="28"/>
          <w:szCs w:val="28"/>
        </w:rPr>
        <w:t>楼板底模及梁，采用钢管支撑体系，双面覆膜漆面木模板，梁柱采用对拉螺杆加固。</w:t>
      </w:r>
    </w:p>
    <w:p>
      <w:pPr>
        <w:widowControl w:val="0"/>
        <w:tabs>
          <w:tab w:val="left" w:pos="1136"/>
        </w:tabs>
        <w:spacing w:before="60" w:line="400" w:lineRule="exact"/>
        <w:ind w:left="697"/>
        <w:jc w:val="both"/>
        <w:rPr>
          <w:rFonts w:eastAsia="宋体"/>
          <w:sz w:val="28"/>
          <w:szCs w:val="28"/>
        </w:rPr>
      </w:pPr>
      <w:r>
        <w:rPr>
          <w:rFonts w:eastAsia="宋体"/>
          <w:sz w:val="28"/>
          <w:szCs w:val="28"/>
        </w:rPr>
        <w:t>6）混凝土工程</w:t>
      </w:r>
    </w:p>
    <w:p>
      <w:pPr>
        <w:widowControl w:val="0"/>
        <w:spacing w:before="60" w:line="400" w:lineRule="exact"/>
        <w:ind w:firstLine="560" w:firstLineChars="200"/>
        <w:jc w:val="both"/>
        <w:rPr>
          <w:rFonts w:eastAsia="宋体"/>
          <w:sz w:val="28"/>
          <w:szCs w:val="28"/>
        </w:rPr>
      </w:pPr>
      <w:r>
        <w:rPr>
          <w:rFonts w:eastAsia="宋体"/>
          <w:sz w:val="28"/>
          <w:szCs w:val="28"/>
        </w:rPr>
        <w:t>采用商品混凝土，采用混凝土布料车浇筑</w:t>
      </w:r>
    </w:p>
    <w:p>
      <w:pPr>
        <w:widowControl w:val="0"/>
        <w:tabs>
          <w:tab w:val="left" w:pos="1136"/>
        </w:tabs>
        <w:spacing w:before="60" w:line="400" w:lineRule="exact"/>
        <w:ind w:left="697"/>
        <w:jc w:val="both"/>
        <w:rPr>
          <w:rFonts w:eastAsia="宋体"/>
          <w:sz w:val="28"/>
          <w:szCs w:val="28"/>
        </w:rPr>
      </w:pPr>
      <w:r>
        <w:rPr>
          <w:rFonts w:eastAsia="宋体"/>
          <w:sz w:val="28"/>
          <w:szCs w:val="28"/>
        </w:rPr>
        <w:t>7）脚手架工程</w:t>
      </w:r>
    </w:p>
    <w:p>
      <w:pPr>
        <w:widowControl w:val="0"/>
        <w:tabs>
          <w:tab w:val="left" w:pos="1136"/>
        </w:tabs>
        <w:spacing w:before="60" w:line="400" w:lineRule="exact"/>
        <w:ind w:firstLine="688"/>
        <w:jc w:val="both"/>
        <w:rPr>
          <w:rFonts w:eastAsia="宋体"/>
          <w:sz w:val="28"/>
          <w:szCs w:val="28"/>
        </w:rPr>
      </w:pPr>
      <w:r>
        <w:rPr>
          <w:rFonts w:eastAsia="宋体"/>
          <w:sz w:val="28"/>
          <w:szCs w:val="28"/>
        </w:rPr>
        <w:t>采用双排落地式钢管脚手架。</w:t>
      </w:r>
    </w:p>
    <w:p>
      <w:pPr>
        <w:widowControl w:val="0"/>
        <w:tabs>
          <w:tab w:val="left" w:pos="1136"/>
        </w:tabs>
        <w:spacing w:before="60" w:line="400" w:lineRule="exact"/>
        <w:ind w:left="697"/>
        <w:jc w:val="both"/>
        <w:rPr>
          <w:rFonts w:eastAsia="宋体"/>
          <w:sz w:val="28"/>
          <w:szCs w:val="28"/>
        </w:rPr>
      </w:pPr>
      <w:r>
        <w:rPr>
          <w:rFonts w:eastAsia="宋体"/>
          <w:sz w:val="28"/>
          <w:szCs w:val="28"/>
        </w:rPr>
        <w:t>8）垂直运输及楼层水平运输</w:t>
      </w:r>
    </w:p>
    <w:p>
      <w:pPr>
        <w:widowControl w:val="0"/>
        <w:spacing w:before="60" w:line="400" w:lineRule="exact"/>
        <w:ind w:firstLine="840" w:firstLineChars="300"/>
        <w:jc w:val="both"/>
        <w:rPr>
          <w:rFonts w:eastAsia="宋体"/>
          <w:iCs/>
          <w:sz w:val="28"/>
          <w:szCs w:val="28"/>
        </w:rPr>
      </w:pPr>
      <w:r>
        <w:rPr>
          <w:rFonts w:eastAsia="宋体"/>
          <w:iCs/>
          <w:sz w:val="28"/>
          <w:szCs w:val="28"/>
        </w:rPr>
        <w:t>垂直运输采用塔吊垂直运输，楼层水平运输采用手推车，地面水平运输在塔吊回转半径以外的部分采用机动翻斗车。</w:t>
      </w:r>
    </w:p>
    <w:p>
      <w:pPr>
        <w:widowControl w:val="0"/>
        <w:tabs>
          <w:tab w:val="left" w:pos="1136"/>
        </w:tabs>
        <w:spacing w:before="60" w:line="400" w:lineRule="exact"/>
        <w:ind w:left="697"/>
        <w:jc w:val="both"/>
        <w:rPr>
          <w:rFonts w:eastAsia="宋体"/>
          <w:sz w:val="28"/>
          <w:szCs w:val="28"/>
        </w:rPr>
      </w:pPr>
      <w:r>
        <w:rPr>
          <w:rFonts w:eastAsia="宋体"/>
          <w:sz w:val="28"/>
          <w:szCs w:val="28"/>
        </w:rPr>
        <w:t>9）现场办公</w:t>
      </w:r>
    </w:p>
    <w:p>
      <w:pPr>
        <w:widowControl w:val="0"/>
        <w:spacing w:before="60" w:line="400" w:lineRule="exact"/>
        <w:ind w:firstLine="840" w:firstLineChars="300"/>
        <w:jc w:val="both"/>
        <w:rPr>
          <w:rFonts w:eastAsia="宋体"/>
          <w:iCs/>
          <w:sz w:val="28"/>
          <w:szCs w:val="28"/>
        </w:rPr>
      </w:pPr>
      <w:r>
        <w:rPr>
          <w:rFonts w:eastAsia="宋体"/>
          <w:iCs/>
          <w:sz w:val="28"/>
          <w:szCs w:val="28"/>
        </w:rPr>
        <w:t>采用计算机辅助管理的现代化办公技术。整个现场均采用无线电对讲机遥控指挥系统。</w:t>
      </w:r>
    </w:p>
    <w:p>
      <w:pPr>
        <w:widowControl w:val="0"/>
        <w:tabs>
          <w:tab w:val="left" w:pos="1136"/>
        </w:tabs>
        <w:spacing w:before="60" w:line="400" w:lineRule="exact"/>
        <w:ind w:left="697"/>
        <w:jc w:val="both"/>
        <w:rPr>
          <w:rFonts w:eastAsia="宋体"/>
          <w:sz w:val="28"/>
          <w:szCs w:val="28"/>
        </w:rPr>
      </w:pPr>
      <w:r>
        <w:rPr>
          <w:rFonts w:eastAsia="宋体"/>
          <w:sz w:val="28"/>
          <w:szCs w:val="28"/>
        </w:rPr>
        <w:t>10）安装工程</w:t>
      </w:r>
    </w:p>
    <w:p>
      <w:pPr>
        <w:widowControl w:val="0"/>
        <w:spacing w:before="60" w:line="400" w:lineRule="exact"/>
        <w:ind w:firstLine="560" w:firstLineChars="200"/>
        <w:jc w:val="both"/>
        <w:rPr>
          <w:rFonts w:eastAsia="宋体"/>
          <w:sz w:val="28"/>
          <w:szCs w:val="28"/>
        </w:rPr>
      </w:pPr>
      <w:r>
        <w:rPr>
          <w:rFonts w:eastAsia="宋体"/>
          <w:iCs/>
          <w:sz w:val="28"/>
          <w:szCs w:val="28"/>
        </w:rPr>
        <w:t>采用常规的施工方法。</w:t>
      </w:r>
    </w:p>
    <w:p>
      <w:pPr>
        <w:pStyle w:val="4"/>
      </w:pPr>
      <w:bookmarkStart w:id="468" w:name="_Toc87588327"/>
      <w:bookmarkStart w:id="469" w:name="_Toc82958002"/>
      <w:bookmarkStart w:id="470" w:name="_Toc66105661"/>
      <w:bookmarkStart w:id="471" w:name="_Toc82958446"/>
      <w:bookmarkStart w:id="472" w:name="_Toc433196238"/>
      <w:bookmarkStart w:id="473" w:name="_Toc479630810"/>
      <w:bookmarkStart w:id="474" w:name="_Toc24251"/>
      <w:bookmarkStart w:id="475" w:name="_Toc82956247"/>
      <w:bookmarkStart w:id="476" w:name="_Toc15367"/>
      <w:bookmarkStart w:id="477" w:name="_Toc73969041"/>
      <w:bookmarkStart w:id="478" w:name="_Toc82945978"/>
      <w:r>
        <w:t>4.4.5：主要机械、设备的确定</w:t>
      </w:r>
      <w:bookmarkEnd w:id="468"/>
      <w:bookmarkEnd w:id="469"/>
      <w:bookmarkEnd w:id="470"/>
      <w:bookmarkEnd w:id="471"/>
      <w:bookmarkEnd w:id="472"/>
      <w:bookmarkEnd w:id="473"/>
      <w:bookmarkEnd w:id="474"/>
      <w:bookmarkEnd w:id="475"/>
      <w:bookmarkEnd w:id="476"/>
      <w:bookmarkEnd w:id="477"/>
      <w:bookmarkEnd w:id="478"/>
    </w:p>
    <w:p>
      <w:pPr>
        <w:widowControl w:val="0"/>
        <w:tabs>
          <w:tab w:val="left" w:pos="1136"/>
        </w:tabs>
        <w:spacing w:before="60" w:line="400" w:lineRule="exact"/>
        <w:ind w:left="697"/>
        <w:jc w:val="both"/>
        <w:rPr>
          <w:rFonts w:hint="eastAsia" w:eastAsia="宋体"/>
          <w:sz w:val="28"/>
          <w:szCs w:val="28"/>
        </w:rPr>
      </w:pPr>
      <w:r>
        <w:rPr>
          <w:rFonts w:eastAsia="宋体"/>
          <w:sz w:val="28"/>
          <w:szCs w:val="28"/>
        </w:rPr>
        <w:t>1）土方施工机械</w:t>
      </w:r>
      <w:r>
        <w:rPr>
          <w:rFonts w:hint="eastAsia" w:eastAsia="宋体"/>
          <w:sz w:val="28"/>
          <w:szCs w:val="28"/>
        </w:rPr>
        <w:t>：</w:t>
      </w:r>
    </w:p>
    <w:p>
      <w:pPr>
        <w:widowControl w:val="0"/>
        <w:spacing w:before="60" w:line="400" w:lineRule="exact"/>
        <w:ind w:firstLine="560" w:firstLineChars="200"/>
        <w:jc w:val="both"/>
        <w:rPr>
          <w:rFonts w:eastAsia="宋体"/>
          <w:bCs/>
          <w:sz w:val="28"/>
          <w:szCs w:val="28"/>
        </w:rPr>
      </w:pPr>
      <w:r>
        <w:rPr>
          <w:rFonts w:eastAsia="宋体"/>
          <w:sz w:val="28"/>
          <w:szCs w:val="28"/>
        </w:rPr>
        <w:t>土方开挖选用反铲挖掘机，</w:t>
      </w:r>
      <w:r>
        <w:rPr>
          <w:rFonts w:eastAsia="宋体"/>
          <w:iCs/>
          <w:sz w:val="28"/>
          <w:szCs w:val="28"/>
        </w:rPr>
        <w:t xml:space="preserve"> 土方运输采用15t以上自卸车；</w:t>
      </w:r>
    </w:p>
    <w:p>
      <w:pPr>
        <w:widowControl w:val="0"/>
        <w:tabs>
          <w:tab w:val="left" w:pos="1136"/>
        </w:tabs>
        <w:spacing w:before="60" w:line="400" w:lineRule="exact"/>
        <w:ind w:left="697"/>
        <w:jc w:val="both"/>
        <w:rPr>
          <w:rFonts w:hint="eastAsia" w:eastAsia="宋体"/>
          <w:sz w:val="28"/>
          <w:szCs w:val="28"/>
        </w:rPr>
      </w:pPr>
      <w:r>
        <w:rPr>
          <w:rFonts w:eastAsia="宋体"/>
          <w:sz w:val="28"/>
          <w:szCs w:val="28"/>
        </w:rPr>
        <w:t>2）钢筋加工机械</w:t>
      </w:r>
      <w:r>
        <w:rPr>
          <w:rFonts w:hint="eastAsia" w:eastAsia="宋体"/>
          <w:sz w:val="28"/>
          <w:szCs w:val="28"/>
        </w:rPr>
        <w:t>：</w:t>
      </w:r>
    </w:p>
    <w:p>
      <w:pPr>
        <w:widowControl w:val="0"/>
        <w:spacing w:before="60" w:line="400" w:lineRule="exact"/>
        <w:ind w:firstLine="480" w:firstLineChars="200"/>
        <w:jc w:val="both"/>
        <w:rPr>
          <w:rFonts w:eastAsia="宋体"/>
          <w:iCs/>
          <w:spacing w:val="-20"/>
          <w:sz w:val="28"/>
          <w:szCs w:val="28"/>
        </w:rPr>
      </w:pPr>
      <w:r>
        <w:rPr>
          <w:rFonts w:eastAsia="宋体"/>
          <w:iCs/>
          <w:spacing w:val="-20"/>
          <w:sz w:val="28"/>
          <w:szCs w:val="28"/>
        </w:rPr>
        <w:t>常规切断机、弯曲机、电焊机、电渣压力焊机；</w:t>
      </w:r>
    </w:p>
    <w:p>
      <w:pPr>
        <w:widowControl w:val="0"/>
        <w:tabs>
          <w:tab w:val="left" w:pos="1136"/>
        </w:tabs>
        <w:spacing w:before="60" w:line="400" w:lineRule="exact"/>
        <w:ind w:left="697"/>
        <w:jc w:val="both"/>
        <w:rPr>
          <w:rFonts w:eastAsia="宋体"/>
          <w:sz w:val="28"/>
          <w:szCs w:val="28"/>
        </w:rPr>
      </w:pPr>
      <w:r>
        <w:rPr>
          <w:rFonts w:eastAsia="宋体"/>
          <w:sz w:val="28"/>
          <w:szCs w:val="28"/>
        </w:rPr>
        <w:t>3）混凝土施工机械</w:t>
      </w:r>
      <w:r>
        <w:rPr>
          <w:rFonts w:hint="eastAsia" w:eastAsia="宋体"/>
          <w:sz w:val="28"/>
          <w:szCs w:val="28"/>
        </w:rPr>
        <w:t>：</w:t>
      </w:r>
    </w:p>
    <w:p>
      <w:pPr>
        <w:widowControl w:val="0"/>
        <w:spacing w:before="60" w:line="400" w:lineRule="exact"/>
        <w:ind w:firstLine="560" w:firstLineChars="200"/>
        <w:jc w:val="both"/>
        <w:rPr>
          <w:rFonts w:eastAsia="宋体"/>
          <w:iCs/>
          <w:sz w:val="28"/>
          <w:szCs w:val="28"/>
        </w:rPr>
      </w:pPr>
      <w:r>
        <w:rPr>
          <w:rFonts w:eastAsia="宋体"/>
          <w:iCs/>
          <w:sz w:val="28"/>
          <w:szCs w:val="28"/>
        </w:rPr>
        <w:t>汽车混凝土输送泵、布料车；</w:t>
      </w:r>
    </w:p>
    <w:p>
      <w:pPr>
        <w:widowControl w:val="0"/>
        <w:tabs>
          <w:tab w:val="left" w:pos="1136"/>
        </w:tabs>
        <w:spacing w:before="60" w:line="400" w:lineRule="exact"/>
        <w:ind w:left="697"/>
        <w:jc w:val="both"/>
        <w:rPr>
          <w:rFonts w:eastAsia="宋体"/>
          <w:sz w:val="28"/>
          <w:szCs w:val="28"/>
        </w:rPr>
      </w:pPr>
      <w:r>
        <w:rPr>
          <w:rFonts w:eastAsia="宋体"/>
          <w:sz w:val="28"/>
          <w:szCs w:val="28"/>
        </w:rPr>
        <w:t>4）垂直运输机械</w:t>
      </w:r>
      <w:r>
        <w:rPr>
          <w:rFonts w:hint="eastAsia" w:eastAsia="宋体"/>
          <w:sz w:val="28"/>
          <w:szCs w:val="28"/>
        </w:rPr>
        <w:t>：</w:t>
      </w:r>
    </w:p>
    <w:p>
      <w:pPr>
        <w:widowControl w:val="0"/>
        <w:spacing w:before="60" w:line="400" w:lineRule="exact"/>
        <w:ind w:firstLine="560" w:firstLineChars="200"/>
        <w:jc w:val="both"/>
        <w:rPr>
          <w:rFonts w:eastAsia="宋体"/>
          <w:iCs/>
          <w:sz w:val="28"/>
          <w:szCs w:val="28"/>
        </w:rPr>
      </w:pPr>
      <w:r>
        <w:rPr>
          <w:rFonts w:eastAsia="宋体"/>
          <w:sz w:val="28"/>
          <w:szCs w:val="28"/>
        </w:rPr>
        <w:t>型号为QTZ80型塔式起重机3台，水平运输机械</w:t>
      </w:r>
      <w:r>
        <w:rPr>
          <w:rFonts w:eastAsia="宋体"/>
          <w:iCs/>
          <w:sz w:val="28"/>
          <w:szCs w:val="28"/>
        </w:rPr>
        <w:t>1t机动翻斗车，手推车。</w:t>
      </w:r>
    </w:p>
    <w:p>
      <w:pPr>
        <w:widowControl w:val="0"/>
        <w:spacing w:before="60" w:line="400" w:lineRule="exact"/>
        <w:ind w:firstLine="560" w:firstLineChars="200"/>
        <w:jc w:val="both"/>
        <w:rPr>
          <w:rFonts w:eastAsia="宋体"/>
          <w:iCs/>
          <w:sz w:val="28"/>
          <w:szCs w:val="28"/>
        </w:rPr>
      </w:pPr>
    </w:p>
    <w:p>
      <w:pPr>
        <w:widowControl w:val="0"/>
        <w:tabs>
          <w:tab w:val="left" w:pos="1136"/>
        </w:tabs>
        <w:spacing w:before="60" w:line="400" w:lineRule="exact"/>
        <w:ind w:left="697"/>
        <w:jc w:val="both"/>
        <w:rPr>
          <w:rFonts w:hint="eastAsia" w:eastAsia="宋体"/>
          <w:sz w:val="28"/>
          <w:szCs w:val="28"/>
        </w:rPr>
      </w:pPr>
      <w:r>
        <w:rPr>
          <w:rFonts w:eastAsia="宋体"/>
          <w:sz w:val="28"/>
          <w:szCs w:val="28"/>
        </w:rPr>
        <w:t>5）办公设备</w:t>
      </w:r>
      <w:r>
        <w:rPr>
          <w:rFonts w:hint="eastAsia" w:eastAsia="宋体"/>
          <w:sz w:val="28"/>
          <w:szCs w:val="28"/>
        </w:rPr>
        <w:t>：</w:t>
      </w:r>
    </w:p>
    <w:p>
      <w:pPr>
        <w:widowControl w:val="0"/>
        <w:spacing w:before="60" w:line="400" w:lineRule="exact"/>
        <w:ind w:firstLine="560" w:firstLineChars="200"/>
        <w:jc w:val="both"/>
        <w:rPr>
          <w:rFonts w:eastAsia="宋体"/>
          <w:iCs/>
          <w:sz w:val="28"/>
          <w:szCs w:val="28"/>
        </w:rPr>
      </w:pPr>
      <w:r>
        <w:rPr>
          <w:rFonts w:eastAsia="宋体"/>
          <w:iCs/>
          <w:sz w:val="28"/>
          <w:szCs w:val="28"/>
        </w:rPr>
        <w:t>电脑、复印机、无线对讲机等现代化办公设备；</w:t>
      </w:r>
    </w:p>
    <w:p>
      <w:pPr>
        <w:widowControl w:val="0"/>
        <w:tabs>
          <w:tab w:val="left" w:pos="1136"/>
        </w:tabs>
        <w:spacing w:before="60" w:line="400" w:lineRule="exact"/>
        <w:ind w:left="697"/>
        <w:jc w:val="both"/>
        <w:rPr>
          <w:rFonts w:eastAsia="宋体"/>
          <w:sz w:val="28"/>
          <w:szCs w:val="28"/>
        </w:rPr>
      </w:pPr>
      <w:r>
        <w:rPr>
          <w:rFonts w:eastAsia="宋体"/>
          <w:sz w:val="28"/>
          <w:szCs w:val="28"/>
        </w:rPr>
        <w:t>6）其它（包括安装机械）</w:t>
      </w:r>
      <w:r>
        <w:rPr>
          <w:rFonts w:hint="eastAsia" w:eastAsia="宋体"/>
          <w:sz w:val="28"/>
          <w:szCs w:val="28"/>
        </w:rPr>
        <w:t>：</w:t>
      </w:r>
    </w:p>
    <w:p>
      <w:pPr>
        <w:widowControl w:val="0"/>
        <w:spacing w:before="60" w:line="400" w:lineRule="exact"/>
        <w:ind w:firstLine="560" w:firstLineChars="200"/>
        <w:jc w:val="both"/>
        <w:rPr>
          <w:rFonts w:eastAsia="宋体"/>
          <w:iCs/>
          <w:sz w:val="28"/>
          <w:szCs w:val="28"/>
        </w:rPr>
      </w:pPr>
      <w:r>
        <w:rPr>
          <w:rFonts w:eastAsia="宋体"/>
          <w:iCs/>
          <w:sz w:val="28"/>
          <w:szCs w:val="28"/>
        </w:rPr>
        <w:t>采用常规机械。详见附表1。</w:t>
      </w:r>
    </w:p>
    <w:p>
      <w:pPr>
        <w:pStyle w:val="3"/>
      </w:pPr>
      <w:bookmarkStart w:id="479" w:name="_Toc73969042"/>
      <w:bookmarkStart w:id="480" w:name="_Toc479630811"/>
      <w:bookmarkStart w:id="481" w:name="_Toc82956248"/>
      <w:bookmarkStart w:id="482" w:name="_Toc80786661"/>
      <w:bookmarkStart w:id="483" w:name="_Toc87588328"/>
      <w:bookmarkStart w:id="484" w:name="_Toc433196239"/>
      <w:bookmarkStart w:id="485" w:name="_Toc74342117"/>
      <w:bookmarkStart w:id="486" w:name="_Toc80786859"/>
      <w:bookmarkStart w:id="487" w:name="_Toc74372967"/>
      <w:bookmarkStart w:id="488" w:name="_Toc80787045"/>
      <w:bookmarkStart w:id="489" w:name="_Toc82945979"/>
      <w:bookmarkStart w:id="490" w:name="_Toc80786437"/>
      <w:bookmarkStart w:id="491" w:name="_Toc5318"/>
      <w:bookmarkStart w:id="492" w:name="_Toc80786760"/>
      <w:bookmarkStart w:id="493" w:name="_Toc82958003"/>
      <w:bookmarkStart w:id="494" w:name="_Toc82958447"/>
      <w:bookmarkStart w:id="495" w:name="_Toc30778"/>
      <w:bookmarkStart w:id="496" w:name="_Toc82917191"/>
      <w:bookmarkStart w:id="497" w:name="_Toc74372032"/>
      <w:bookmarkStart w:id="498" w:name="_Toc78943329"/>
      <w:bookmarkStart w:id="499" w:name="_Toc74342384"/>
      <w:r>
        <w:t>4.5：</w:t>
      </w:r>
      <w:bookmarkEnd w:id="479"/>
      <w:bookmarkEnd w:id="480"/>
      <w:r>
        <w:t>组织机构设置</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pStyle w:val="4"/>
      </w:pPr>
      <w:bookmarkStart w:id="500" w:name="_Toc82945984"/>
      <w:bookmarkStart w:id="501" w:name="_Toc87588332"/>
      <w:bookmarkStart w:id="502" w:name="_Toc82958008"/>
      <w:bookmarkStart w:id="503" w:name="_Toc433196240"/>
      <w:bookmarkStart w:id="504" w:name="_Toc4241"/>
      <w:bookmarkStart w:id="505" w:name="_Toc82958451"/>
      <w:bookmarkStart w:id="506" w:name="_Toc82956253"/>
      <w:bookmarkStart w:id="507" w:name="_Toc479630818"/>
      <w:bookmarkStart w:id="508" w:name="_Toc66105671"/>
      <w:bookmarkStart w:id="509" w:name="_Toc73969051"/>
      <w:bookmarkStart w:id="510" w:name="_Toc20893"/>
      <w:r>
        <w:t>4.5.1：施工/项目管理组织结构</w:t>
      </w:r>
      <w:bookmarkEnd w:id="500"/>
      <w:bookmarkEnd w:id="501"/>
      <w:bookmarkEnd w:id="502"/>
      <w:bookmarkEnd w:id="503"/>
      <w:bookmarkEnd w:id="504"/>
      <w:bookmarkEnd w:id="505"/>
      <w:bookmarkEnd w:id="506"/>
      <w:bookmarkEnd w:id="507"/>
      <w:bookmarkEnd w:id="508"/>
      <w:bookmarkEnd w:id="509"/>
      <w:bookmarkEnd w:id="510"/>
    </w:p>
    <w:p>
      <w:pPr>
        <w:widowControl w:val="0"/>
        <w:spacing w:before="60" w:line="400" w:lineRule="exact"/>
        <w:ind w:firstLine="560" w:firstLineChars="200"/>
        <w:jc w:val="both"/>
        <w:rPr>
          <w:rFonts w:eastAsia="宋体"/>
          <w:sz w:val="28"/>
          <w:szCs w:val="28"/>
        </w:rPr>
      </w:pPr>
      <w:r>
        <w:rPr>
          <w:rFonts w:eastAsia="宋体"/>
          <w:sz w:val="28"/>
          <w:szCs w:val="28"/>
        </w:rPr>
        <w:t>按照贯标（GB/T19002-ISO9002）要求，并结合工程情况，我单位在现场设立项目经理部。对内，全面组织、协调，管理土建、安装等各工区的工作以及特殊情况下的具体工作；对外，做好与业主、监理、设计以及其它承包商等单位的协调工作。</w:t>
      </w:r>
    </w:p>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根据工程平面布置形式和工作内容，确定施工组织结构如下：在项目部领导下，成立土建施工队一个，装饰工程施工队一个，安装工程施工队一个。各施工队在各自的施工区域组织流水施工。项目部对各施工队在施工现场范围内进行总的协调管理工作。确保施工进度按控制节点完成。</w:t>
      </w:r>
    </w:p>
    <w:p>
      <w:pPr>
        <w:widowControl w:val="0"/>
        <w:tabs>
          <w:tab w:val="left" w:pos="1136"/>
        </w:tabs>
        <w:spacing w:before="60" w:line="400" w:lineRule="exact"/>
        <w:ind w:firstLine="560" w:firstLineChars="200"/>
        <w:jc w:val="both"/>
        <w:rPr>
          <w:rFonts w:eastAsia="宋体"/>
          <w:sz w:val="28"/>
          <w:szCs w:val="28"/>
        </w:rPr>
      </w:pPr>
      <w:r>
        <w:rPr>
          <w:rFonts w:eastAsia="宋体"/>
          <w:sz w:val="28"/>
          <w:szCs w:val="28"/>
        </w:rPr>
        <w:t>施工现场总包经理部的项目管理机构中，操作工人是按照专业队的方式组织，各专业操作工人在每个施工段上的流动，由该专业负责人根据项目经理部的统一部署去组织落实。</w:t>
      </w:r>
    </w:p>
    <w:p>
      <w:pPr>
        <w:widowControl w:val="0"/>
        <w:spacing w:before="60" w:line="400" w:lineRule="exact"/>
        <w:ind w:firstLine="560" w:firstLineChars="200"/>
        <w:jc w:val="both"/>
        <w:rPr>
          <w:rFonts w:eastAsia="宋体"/>
          <w:sz w:val="28"/>
          <w:szCs w:val="28"/>
        </w:rPr>
      </w:pPr>
      <w:r>
        <w:rPr>
          <w:rFonts w:eastAsia="宋体"/>
          <w:sz w:val="28"/>
          <w:szCs w:val="28"/>
        </w:rPr>
        <w:t>公司总部与项目部之间采用现代化通讯手段（包括：Internet）连接，能够随时掌握工地的动向，并保证与业主和项目部项目管理机构的联系畅通。由于移动通讯与电脑的结合，保证了主要指挥者在任何地域都能够与现场保持联系。</w:t>
      </w:r>
    </w:p>
    <w:p>
      <w:pPr>
        <w:pStyle w:val="4"/>
      </w:pPr>
      <w:bookmarkStart w:id="511" w:name="_Toc37793154"/>
      <w:bookmarkStart w:id="512" w:name="_Toc433196241"/>
      <w:bookmarkStart w:id="513" w:name="_Toc17648"/>
      <w:bookmarkStart w:id="514" w:name="_Toc8854"/>
      <w:r>
        <w:t>4.5.2:施工/项目管理组织形式</w:t>
      </w:r>
      <w:bookmarkEnd w:id="511"/>
      <w:bookmarkEnd w:id="512"/>
      <w:bookmarkEnd w:id="513"/>
      <w:bookmarkEnd w:id="514"/>
    </w:p>
    <w:p>
      <w:pPr>
        <w:widowControl w:val="0"/>
        <w:spacing w:before="60" w:line="400" w:lineRule="exact"/>
        <w:ind w:firstLine="560" w:firstLineChars="200"/>
        <w:jc w:val="both"/>
        <w:rPr>
          <w:rFonts w:eastAsia="宋体"/>
          <w:sz w:val="28"/>
          <w:szCs w:val="28"/>
        </w:rPr>
      </w:pPr>
      <w:r>
        <w:rPr>
          <w:rFonts w:eastAsia="宋体"/>
          <w:sz w:val="28"/>
          <w:szCs w:val="28"/>
        </w:rPr>
        <w:t>鉴于本工程的规模和体量，以及上述组织机构的设置情况，和单位总部对现场（项目）的控制情况，为保证项目每一具体过程的控制能够准确、及时、得当，确定本项目的组织管理。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37FE4"/>
    <w:multiLevelType w:val="multilevel"/>
    <w:tmpl w:val="21637FE4"/>
    <w:lvl w:ilvl="0" w:tentative="0">
      <w:start w:val="1"/>
      <w:numFmt w:val="decimal"/>
      <w:lvlText w:val="%1)"/>
      <w:lvlJc w:val="left"/>
      <w:pPr>
        <w:tabs>
          <w:tab w:val="left" w:pos="987"/>
        </w:tabs>
        <w:ind w:left="987" w:hanging="420"/>
      </w:pPr>
    </w:lvl>
    <w:lvl w:ilvl="1" w:tentative="0">
      <w:start w:val="6"/>
      <w:numFmt w:val="decimal"/>
      <w:lvlText w:val="%2）"/>
      <w:lvlJc w:val="left"/>
      <w:pPr>
        <w:ind w:left="1347" w:hanging="360"/>
      </w:pPr>
      <w:rPr>
        <w:rFonts w:hint="default"/>
      </w:r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1">
    <w:nsid w:val="2999196D"/>
    <w:multiLevelType w:val="multilevel"/>
    <w:tmpl w:val="2999196D"/>
    <w:lvl w:ilvl="0" w:tentative="0">
      <w:start w:val="1"/>
      <w:numFmt w:val="decimal"/>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
    <w:nsid w:val="343D574D"/>
    <w:multiLevelType w:val="multilevel"/>
    <w:tmpl w:val="343D574D"/>
    <w:lvl w:ilvl="0" w:tentative="0">
      <w:start w:val="1"/>
      <w:numFmt w:val="decimal"/>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3">
    <w:nsid w:val="4A253F9A"/>
    <w:multiLevelType w:val="multilevel"/>
    <w:tmpl w:val="4A253F9A"/>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5AF95084"/>
    <w:multiLevelType w:val="singleLevel"/>
    <w:tmpl w:val="5AF95084"/>
    <w:lvl w:ilvl="0" w:tentative="0">
      <w:start w:val="1"/>
      <w:numFmt w:val="chineseCounting"/>
      <w:suff w:val="nothing"/>
      <w:lvlText w:val="%1、"/>
      <w:lvlJc w:val="left"/>
    </w:lvl>
  </w:abstractNum>
  <w:abstractNum w:abstractNumId="5">
    <w:nsid w:val="5AF9512F"/>
    <w:multiLevelType w:val="singleLevel"/>
    <w:tmpl w:val="5AF9512F"/>
    <w:lvl w:ilvl="0" w:tentative="0">
      <w:start w:val="3"/>
      <w:numFmt w:val="chineseCounting"/>
      <w:suff w:val="nothing"/>
      <w:lvlText w:val="%1、"/>
      <w:lvlJc w:val="left"/>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GJiMzRkYzBjYTc0NGQzOWU3NjMzNTM3NDVkZDgifQ=="/>
  </w:docVars>
  <w:rsids>
    <w:rsidRoot w:val="14E467FE"/>
    <w:rsid w:val="14E4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paragraph" w:styleId="2">
    <w:name w:val="heading 1"/>
    <w:basedOn w:val="1"/>
    <w:next w:val="1"/>
    <w:qFormat/>
    <w:uiPriority w:val="0"/>
    <w:pPr>
      <w:keepNext/>
      <w:widowControl w:val="0"/>
      <w:autoSpaceDE w:val="0"/>
      <w:autoSpaceDN w:val="0"/>
      <w:adjustRightInd w:val="0"/>
      <w:spacing w:before="60" w:line="400" w:lineRule="exact"/>
      <w:outlineLvl w:val="0"/>
    </w:pPr>
    <w:rPr>
      <w:rFonts w:eastAsia="黑体"/>
      <w:bCs/>
      <w:w w:val="150"/>
      <w:szCs w:val="28"/>
    </w:rPr>
  </w:style>
  <w:style w:type="paragraph" w:styleId="3">
    <w:name w:val="heading 2"/>
    <w:basedOn w:val="1"/>
    <w:next w:val="1"/>
    <w:qFormat/>
    <w:uiPriority w:val="0"/>
    <w:pPr>
      <w:widowControl w:val="0"/>
      <w:spacing w:before="60" w:line="400" w:lineRule="exact"/>
      <w:outlineLvl w:val="1"/>
    </w:pPr>
    <w:rPr>
      <w:rFonts w:eastAsia="黑体"/>
      <w:bCs/>
      <w:sz w:val="30"/>
      <w:szCs w:val="28"/>
    </w:rPr>
  </w:style>
  <w:style w:type="paragraph" w:styleId="4">
    <w:name w:val="heading 3"/>
    <w:basedOn w:val="1"/>
    <w:next w:val="1"/>
    <w:qFormat/>
    <w:uiPriority w:val="0"/>
    <w:pPr>
      <w:widowControl w:val="0"/>
      <w:spacing w:before="60" w:line="400" w:lineRule="exact"/>
      <w:ind w:firstLine="714"/>
      <w:outlineLvl w:val="2"/>
    </w:pPr>
    <w:rPr>
      <w:rFonts w:eastAsia="宋体"/>
      <w:sz w:val="28"/>
      <w:szCs w:val="28"/>
    </w:rPr>
  </w:style>
  <w:style w:type="paragraph" w:styleId="5">
    <w:name w:val="heading 4"/>
    <w:basedOn w:val="1"/>
    <w:next w:val="1"/>
    <w:qFormat/>
    <w:uiPriority w:val="0"/>
    <w:pPr>
      <w:keepNext/>
      <w:widowControl w:val="0"/>
      <w:autoSpaceDE w:val="0"/>
      <w:autoSpaceDN w:val="0"/>
      <w:adjustRightInd w:val="0"/>
      <w:spacing w:before="120" w:beforeLines="0" w:line="0" w:lineRule="atLeast"/>
      <w:jc w:val="distribute"/>
      <w:outlineLvl w:val="3"/>
    </w:pPr>
    <w:rPr>
      <w:rFonts w:eastAsia="Times New Roman"/>
      <w:b/>
      <w:bCs/>
      <w:color w:val="3333CC"/>
      <w:sz w:val="15"/>
      <w:szCs w:val="28"/>
    </w:rPr>
  </w:style>
  <w:style w:type="paragraph" w:styleId="6">
    <w:name w:val="heading 5"/>
    <w:basedOn w:val="1"/>
    <w:next w:val="1"/>
    <w:qFormat/>
    <w:uiPriority w:val="0"/>
    <w:pPr>
      <w:keepNext/>
      <w:jc w:val="center"/>
      <w:outlineLvl w:val="4"/>
    </w:pPr>
    <w:rPr>
      <w:rFonts w:eastAsia="楷体_GB2312"/>
      <w:b/>
      <w:bCs/>
      <w:sz w:val="21"/>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CM158"/>
    <w:basedOn w:val="1"/>
    <w:next w:val="1"/>
    <w:qFormat/>
    <w:uiPriority w:val="99"/>
    <w:pPr>
      <w:widowControl w:val="0"/>
      <w:autoSpaceDE w:val="0"/>
      <w:autoSpaceDN w:val="0"/>
      <w:adjustRightInd w:val="0"/>
    </w:pPr>
    <w:rPr>
      <w:rFonts w:asci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2023-02-22T04:04:00Z</dcterms:created>
  <dc:creator>嚜軒</dc:creator>
  <cp:lastModifiedBy>嚜軒</cp:lastModifiedBy>
  <dcterms:modified xsi:type="dcterms:W3CDTF">2023-02-22T04:06:57Z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88DA6760BFF346CEB581619BA3F59610</vt:lpwstr>
  </property>
</Properties>
</file>