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b/>
          <w:bCs/>
          <w:sz w:val="32"/>
          <w:szCs w:val="32"/>
          <w:bdr w:val="none" w:color="auto" w:sz="0" w:space="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32"/>
          <w:szCs w:val="32"/>
          <w:shd w:val="clear" w:fill="FFFFFF"/>
        </w:rPr>
        <w:t>室外吸烟区设置专项报告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下列室内公共场所应当控制吸烟，划定吸烟区或者设置吸烟室，吸烟区（室）外的其他区域禁止吸烟：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歌舞厅、游艺室等娱乐场所；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长途客运汽车、客渡轮、飞机、火车等公共交通工具的等候区域；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法律、法规和县级以上地方人民政府确定的其他场所。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划定吸烟区或者设置吸烟室应当遵守下列规定：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符合消防安全要求；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与非吸烟区有效分隔；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远离人员密集区域和主要通道；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设置独立有效的通风换气装置；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设置醒目的标志；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配置烟灰缸（盒）；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设置吸烟有害健康等控制吸烟的宣传警语。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GJiMzRkYzBjYTc0NGQzOWU3NjMzNTM3NDVkZDgifQ=="/>
  </w:docVars>
  <w:rsids>
    <w:rsidRoot w:val="6D3C23E7"/>
    <w:rsid w:val="6D3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2023-02-21T15:45:00Z</dcterms:created>
  <dc:creator>嚜軒</dc:creator>
  <cp:lastModifiedBy>嚜軒</cp:lastModifiedBy>
  <dcterms:modified xsi:type="dcterms:W3CDTF">2023-02-21T15:50:07Z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7EFD0C1A72E94622A5D37D57D70C3485</vt:lpwstr>
  </property>
</Properties>
</file>