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leftChars="0"/>
        <w:textAlignment w:val="auto"/>
        <w:rPr>
          <w:rFonts w:hint="eastAsia" w:ascii="黑体" w:hAnsi="黑体" w:cs="黑体"/>
          <w:b/>
          <w:sz w:val="28"/>
          <w:szCs w:val="22"/>
          <w:lang w:val="en-US" w:eastAsia="zh-CN"/>
        </w:rPr>
      </w:pPr>
      <w:bookmarkStart w:id="0" w:name="_Toc9983"/>
    </w:p>
    <w:p>
      <w:pPr>
        <w:pStyle w:val="4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leftChars="0"/>
        <w:textAlignment w:val="auto"/>
        <w:rPr>
          <w:rFonts w:hint="eastAsia" w:ascii="黑体" w:hAnsi="黑体" w:cs="黑体"/>
          <w:b/>
          <w:sz w:val="28"/>
          <w:szCs w:val="22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GB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《</w:t>
      </w: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“碳”索未来-实验中心低碳节能改造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及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智能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运维</w:t>
      </w:r>
      <w:r>
        <w:rPr>
          <w:rFonts w:hint="eastAsia" w:ascii="黑体" w:hAnsi="黑体" w:eastAsia="黑体" w:cs="黑体"/>
          <w:sz w:val="36"/>
          <w:szCs w:val="36"/>
          <w:lang w:val="en-GB" w:eastAsia="zh-CN"/>
        </w:rPr>
        <w:t>》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GB"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GB" w:eastAsia="zh-CN"/>
        </w:rPr>
      </w:pPr>
      <w:bookmarkStart w:id="6" w:name="_GoBack"/>
      <w:bookmarkEnd w:id="6"/>
    </w:p>
    <w:tbl>
      <w:tblPr>
        <w:tblStyle w:val="8"/>
        <w:tblpPr w:leftFromText="180" w:rightFromText="180" w:vertAnchor="text" w:horzAnchor="page" w:tblpX="2653" w:tblpY="92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pStyle w:val="7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5017" w:type="dxa"/>
            <w:noWrap w:val="0"/>
            <w:vAlign w:val="top"/>
          </w:tcPr>
          <w:p>
            <w:pPr>
              <w:pStyle w:val="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“碳”索未来-实验中心低碳节能改造及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 w:bidi="ar-SA"/>
              </w:rPr>
              <w:t>智能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运维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5017" w:type="dxa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沈阳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017" w:type="dxa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Cs w:val="21"/>
              </w:rPr>
              <w:t>BKB50050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  <w:noWrap w:val="0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5017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3" w:name="报告日期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2022.12</w:t>
            </w:r>
          </w:p>
        </w:tc>
      </w:tr>
    </w:tbl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GB"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GB" w:eastAsia="zh-CN"/>
        </w:rPr>
      </w:pPr>
    </w:p>
    <w:p>
      <w:pPr>
        <w:pStyle w:val="4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leftChars="0"/>
        <w:textAlignment w:val="auto"/>
        <w:rPr>
          <w:rFonts w:hint="eastAsia" w:ascii="黑体" w:hAnsi="黑体" w:cs="黑体"/>
          <w:b/>
          <w:sz w:val="28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/>
      </w:r>
    </w:p>
    <w:p>
      <w:pPr>
        <w:pStyle w:val="4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leftChars="0"/>
        <w:textAlignment w:val="auto"/>
        <w:rPr>
          <w:rFonts w:hint="eastAsia" w:ascii="黑体" w:hAnsi="黑体" w:cs="黑体"/>
          <w:b/>
          <w:sz w:val="28"/>
          <w:szCs w:val="22"/>
          <w:lang w:val="en-US" w:eastAsia="zh-CN"/>
        </w:rPr>
      </w:pPr>
      <w:r>
        <w:rPr>
          <w:rFonts w:hint="eastAsia" w:ascii="黑体" w:hAnsi="黑体" w:cs="黑体"/>
          <w:b/>
          <w:sz w:val="28"/>
          <w:szCs w:val="22"/>
          <w:lang w:val="en-US" w:eastAsia="zh-CN"/>
        </w:rPr>
        <w:t>1.节能设计</w:t>
      </w:r>
      <w:bookmarkEnd w:id="0"/>
    </w:p>
    <w:p>
      <w:pPr>
        <w:pStyle w:val="5"/>
        <w:ind w:left="0" w:leftChars="0"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使用绿建节能设计软件BECS在对原始建筑进行节能检查计算分析后，存在部分墙体（10处墙体）其传热系数超出规定限制的情况，外墙构造的传热系数为0.47，大于标准要求当体系系数小于0.3时传热系数小于等于0.43的要求，其中包含10处墙体外墙的传热系数均高于规定值，节能设计结论不满足要求。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具体详见节能设计分析报告。</w:t>
      </w:r>
    </w:p>
    <w:p>
      <w:pPr>
        <w:pStyle w:val="5"/>
        <w:ind w:left="0" w:leftChars="0" w:firstLine="0" w:firstLineChars="0"/>
        <w:rPr>
          <w:rFonts w:hint="default" w:eastAsia="宋体"/>
          <w:color w:val="FF0000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5502275" cy="384111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231" t="357" r="1106" b="1768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8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规定指标中显示不满足项可以通过性能权衡来达到满足，但通过性能指标的权衡后，依然无法满足规定的要求，节能设计未达标。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492115" cy="3815080"/>
            <wp:effectExtent l="0" t="0" r="9525" b="10160"/>
            <wp:docPr id="2" name="图片 2" descr="0679565f830916071d587449857f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79565f830916071d587449857f033"/>
                    <pic:cNvPicPr>
                      <a:picLocks noChangeAspect="1"/>
                    </pic:cNvPicPr>
                  </pic:nvPicPr>
                  <pic:blipFill>
                    <a:blip r:embed="rId5"/>
                    <a:srcRect l="758" r="1126" b="1265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381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leftChars="0"/>
        <w:textAlignment w:val="auto"/>
        <w:rPr>
          <w:rFonts w:hint="default" w:ascii="黑体" w:hAnsi="黑体" w:cs="黑体"/>
          <w:b/>
          <w:sz w:val="28"/>
          <w:szCs w:val="22"/>
          <w:lang w:val="en-US" w:eastAsia="zh-CN"/>
        </w:rPr>
      </w:pPr>
      <w:bookmarkStart w:id="4" w:name="_Toc31224"/>
      <w:r>
        <w:rPr>
          <w:rFonts w:hint="eastAsia" w:ascii="黑体" w:hAnsi="黑体" w:cs="黑体"/>
          <w:b/>
          <w:sz w:val="28"/>
          <w:szCs w:val="22"/>
          <w:lang w:val="en-US" w:eastAsia="zh-CN"/>
        </w:rPr>
        <w:t>2.能耗计算</w:t>
      </w:r>
      <w:bookmarkEnd w:id="4"/>
    </w:p>
    <w:p>
      <w:pPr>
        <w:pStyle w:val="5"/>
        <w:ind w:left="0" w:leftChars="0"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5" w:name="_Toc22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通过使用绿建能耗计算分析软件BESI在对原始建筑进行能耗计算分析后，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绿建指标综合节能率计算结果：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原始建筑的综合电耗为53.95kWh/m</w:t>
      </w:r>
      <w:r>
        <w:rPr>
          <w:rFonts w:hint="eastAsia" w:ascii="仿宋" w:hAnsi="仿宋" w:eastAsia="仿宋" w:cs="仿宋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，高于参照建筑的综合电耗49.16kWh/m</w:t>
      </w:r>
      <w:r>
        <w:rPr>
          <w:rFonts w:hint="eastAsia" w:ascii="仿宋" w:hAnsi="仿宋" w:eastAsia="仿宋" w:cs="仿宋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，节能率为负值，结论为不节能。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具体详见能耗计算分析报告。</w:t>
      </w:r>
    </w:p>
    <w:p>
      <w:pPr>
        <w:pStyle w:val="5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5488305" cy="5592445"/>
            <wp:effectExtent l="0" t="0" r="13335" b="635"/>
            <wp:docPr id="3" name="图片 3" descr="5a8d06bccc6c0fcb46701635daa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a8d06bccc6c0fcb46701635daa4852"/>
                    <pic:cNvPicPr>
                      <a:picLocks noChangeAspect="1"/>
                    </pic:cNvPicPr>
                  </pic:nvPicPr>
                  <pic:blipFill>
                    <a:blip r:embed="rId6"/>
                    <a:srcRect l="2122" t="539" r="2269" b="1738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559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zNhMjI0YWU4MGU1YThkODFmYWMyMGIzNTYxNzQifQ=="/>
  </w:docVars>
  <w:rsids>
    <w:rsidRoot w:val="010A2975"/>
    <w:rsid w:val="010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5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426</Characters>
  <Lines>0</Lines>
  <Paragraphs>0</Paragraphs>
  <TotalTime>1</TotalTime>
  <ScaleCrop>false</ScaleCrop>
  <LinksUpToDate>false</LinksUpToDate>
  <CharactersWithSpaces>426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2023-03-05T06:10:00Z</dcterms:created>
  <dc:creator>远离地球</dc:creator>
  <cp:lastModifiedBy>远离地球</cp:lastModifiedBy>
  <dcterms:modified xsi:type="dcterms:W3CDTF">2023-03-05T06:12:11Z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CDB0C6C7BFA74B9EA29FFE500EBA7A6A</vt:lpwstr>
  </property>
</Properties>
</file>