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建筑碳排放分析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（评价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“碳”索未来-实验中心低碳节能改造及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 w:bidi="ar-SA"/>
              </w:rPr>
              <w:t>智能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沈阳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BKB50050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报告日期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  <w:bookmarkStart w:id="3" w:name="二维码"/>
      <w:bookmarkEnd w:id="3"/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4" w:name="目录"/>
      <w:bookmarkEnd w:id="4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建筑</w:t>
      </w:r>
      <w:r>
        <w:rPr>
          <w:rFonts w:hint="eastAsia"/>
        </w:rPr>
        <w:t>概况</w:t>
      </w:r>
      <w:r>
        <w:tab/>
      </w:r>
      <w:r>
        <w:fldChar w:fldCharType="begin"/>
      </w:r>
      <w:r>
        <w:instrText xml:space="preserve"> PAGEREF _Toc7969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_Toc22083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_Toc22083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_Toc21770 </w:instrText>
      </w:r>
      <w:r>
        <w:fldChar w:fldCharType="separate"/>
      </w:r>
      <w:r>
        <w:rPr>
          <w:rFonts w:hint="eastAsia"/>
        </w:rPr>
        <w:t xml:space="preserve">3 </w:t>
      </w:r>
      <w:r>
        <w:rPr>
          <w:rFonts w:hint="eastAsia"/>
          <w:lang w:val="en-US" w:eastAsia="zh-CN"/>
        </w:rPr>
        <w:t>建筑数据提取</w:t>
      </w:r>
      <w:r>
        <w:tab/>
      </w:r>
      <w:r>
        <w:fldChar w:fldCharType="begin"/>
      </w:r>
      <w:r>
        <w:instrText xml:space="preserve"> PAGEREF _Toc21770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_Toc1887 </w:instrText>
      </w:r>
      <w:r>
        <w:fldChar w:fldCharType="separate"/>
      </w:r>
      <w:r>
        <w:rPr>
          <w:rFonts w:hint="eastAsia"/>
        </w:rPr>
        <w:t xml:space="preserve">4 </w:t>
      </w:r>
      <w:r>
        <w:rPr>
          <w:rFonts w:hint="eastAsia"/>
          <w:lang w:val="en-US" w:eastAsia="zh-CN"/>
        </w:rPr>
        <w:t>建筑全年逐时负荷</w:t>
      </w:r>
      <w:r>
        <w:tab/>
      </w:r>
      <w:r>
        <w:fldChar w:fldCharType="begin"/>
      </w:r>
      <w:r>
        <w:instrText xml:space="preserve"> PAGEREF _Toc1887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_Toc21204 </w:instrText>
      </w:r>
      <w:r>
        <w:fldChar w:fldCharType="separate"/>
      </w:r>
      <w:r>
        <w:rPr>
          <w:rFonts w:hint="eastAsia"/>
        </w:rPr>
        <w:t xml:space="preserve">5 </w:t>
      </w:r>
      <w:r>
        <w:rPr>
          <w:rFonts w:hint="eastAsia"/>
          <w:lang w:val="en-US" w:eastAsia="zh-CN"/>
        </w:rPr>
        <w:t>原始建筑计算结果分析及结论</w:t>
      </w:r>
      <w:r>
        <w:tab/>
      </w:r>
      <w:r>
        <w:fldChar w:fldCharType="begin"/>
      </w:r>
      <w:r>
        <w:instrText xml:space="preserve"> PAGEREF _Toc21204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  <w:lang w:val="en-US" w:eastAsia="zh-CN"/>
        </w:rPr>
        <w:t>建材生产运输碳排放计算</w:t>
      </w:r>
      <w:r>
        <w:tab/>
      </w:r>
      <w:r>
        <w:fldChar w:fldCharType="begin"/>
      </w:r>
      <w:r>
        <w:instrText xml:space="preserve"> PAGEREF _Toc15812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  <w:lang w:val="en-US" w:eastAsia="zh-CN"/>
        </w:rPr>
        <w:t>建筑建造拆除碳排放计算</w:t>
      </w:r>
      <w:r>
        <w:tab/>
      </w:r>
      <w:r>
        <w:fldChar w:fldCharType="begin"/>
      </w:r>
      <w:r>
        <w:instrText xml:space="preserve"> PAGEREF _Toc30609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_Toc25253 </w:instrText>
      </w:r>
      <w:r>
        <w:fldChar w:fldCharType="separate"/>
      </w:r>
      <w:r>
        <w:rPr>
          <w:rFonts w:hint="eastAsia"/>
          <w:lang w:val="en-GB" w:eastAsia="zh-CN"/>
        </w:rPr>
        <w:t xml:space="preserve">5.3 </w:t>
      </w:r>
      <w:r>
        <w:rPr>
          <w:rFonts w:hint="eastAsia"/>
          <w:lang w:val="en-US" w:eastAsia="zh-CN"/>
        </w:rPr>
        <w:t>碳汇计算</w:t>
      </w:r>
      <w:r>
        <w:tab/>
      </w:r>
      <w:r>
        <w:fldChar w:fldCharType="begin"/>
      </w:r>
      <w:r>
        <w:instrText xml:space="preserve"> PAGEREF _Toc25253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_Toc18020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  <w:lang w:val="en-US" w:eastAsia="zh-CN"/>
        </w:rPr>
        <w:t>建筑运行碳排放计算</w:t>
      </w:r>
      <w:r>
        <w:tab/>
      </w:r>
      <w:r>
        <w:fldChar w:fldCharType="begin"/>
      </w:r>
      <w:r>
        <w:instrText xml:space="preserve"> PAGEREF _Toc18020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_Toc10534 </w:instrText>
      </w:r>
      <w:r>
        <w:fldChar w:fldCharType="separate"/>
      </w:r>
      <w:r>
        <w:rPr>
          <w:rFonts w:hint="eastAsia"/>
          <w:bCs/>
          <w:lang w:val="en-GB" w:eastAsia="zh-CN"/>
        </w:rPr>
        <w:t xml:space="preserve">5.5 </w:t>
      </w:r>
      <w:r>
        <w:rPr>
          <w:rFonts w:hint="eastAsia"/>
          <w:lang w:val="en-US" w:eastAsia="zh-CN"/>
        </w:rPr>
        <w:t>全生命周期碳排放汇总</w:t>
      </w:r>
      <w:r>
        <w:tab/>
      </w:r>
      <w:r>
        <w:fldChar w:fldCharType="begin"/>
      </w:r>
      <w:r>
        <w:instrText xml:space="preserve"> PAGEREF _Toc10534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_Toc8207 </w:instrText>
      </w:r>
      <w:r>
        <w:fldChar w:fldCharType="separate"/>
      </w:r>
      <w:r>
        <w:rPr>
          <w:rFonts w:hint="eastAsia"/>
        </w:rPr>
        <w:t xml:space="preserve">6 </w:t>
      </w:r>
      <w:r>
        <w:rPr>
          <w:rFonts w:hint="eastAsia"/>
          <w:lang w:val="en-US" w:eastAsia="zh-CN"/>
        </w:rPr>
        <w:t>节能改造设计计算结果分析及结论</w:t>
      </w:r>
      <w:r>
        <w:tab/>
      </w:r>
      <w:r>
        <w:fldChar w:fldCharType="begin"/>
      </w:r>
      <w:r>
        <w:instrText xml:space="preserve"> PAGEREF _Toc8207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_Toc16953 </w:instrText>
      </w:r>
      <w:r>
        <w:fldChar w:fldCharType="separate"/>
      </w:r>
      <w:r>
        <w:rPr>
          <w:rFonts w:hint="eastAsia"/>
          <w:lang w:val="en-GB" w:eastAsia="zh-CN"/>
        </w:rPr>
        <w:t xml:space="preserve">6.1 </w:t>
      </w:r>
      <w:r>
        <w:rPr>
          <w:rFonts w:hint="eastAsia"/>
          <w:lang w:val="en-US" w:eastAsia="zh-CN"/>
        </w:rPr>
        <w:t>碳汇计算</w:t>
      </w:r>
      <w:r>
        <w:tab/>
      </w:r>
      <w:r>
        <w:fldChar w:fldCharType="begin"/>
      </w:r>
      <w:r>
        <w:instrText xml:space="preserve"> PAGEREF _Toc16953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_Toc22971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  <w:lang w:val="en-US" w:eastAsia="zh-CN"/>
        </w:rPr>
        <w:t>建筑运行碳排放计算</w:t>
      </w:r>
      <w:r>
        <w:tab/>
      </w:r>
      <w:r>
        <w:fldChar w:fldCharType="begin"/>
      </w:r>
      <w:r>
        <w:instrText xml:space="preserve"> PAGEREF _Toc22971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_Toc8484 </w:instrText>
      </w:r>
      <w:r>
        <w:fldChar w:fldCharType="separate"/>
      </w:r>
      <w:r>
        <w:rPr>
          <w:rFonts w:hint="eastAsia"/>
          <w:bCs/>
          <w:lang w:val="en-GB" w:eastAsia="zh-CN"/>
        </w:rPr>
        <w:t xml:space="preserve">6.3 </w:t>
      </w:r>
      <w:r>
        <w:rPr>
          <w:rFonts w:hint="eastAsia"/>
          <w:lang w:val="en-US" w:eastAsia="zh-CN"/>
        </w:rPr>
        <w:t>全生命周期碳排放汇总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_Toc18772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_Toc18772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5" w:name="_Toc7969"/>
      <w:r>
        <w:rPr>
          <w:rFonts w:hint="eastAsia"/>
          <w:lang w:val="en-US" w:eastAsia="zh-CN"/>
        </w:rPr>
        <w:t>建筑</w:t>
      </w:r>
      <w:r>
        <w:rPr>
          <w:rFonts w:hint="eastAsia"/>
        </w:rPr>
        <w:t>概况</w:t>
      </w:r>
      <w:bookmarkEnd w:id="5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“碳”索未来-实验中心低碳节能改造及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 w:bidi="ar-SA"/>
              </w:rPr>
              <w:t>智能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工程地点"/>
            <w:r>
              <w:t>沈阳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7" w:name="纬度"/>
            <w:r>
              <w:t>41.80</w:t>
            </w:r>
            <w:bookmarkEnd w:id="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8" w:name="经度"/>
            <w:r>
              <w:t>123.42</w:t>
            </w:r>
            <w:bookmarkEnd w:id="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</w:t>
            </w: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/>
                <w:lang w:val="en-US"/>
              </w:rPr>
              <w:t>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严寒C区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建筑面积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9542m2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left="0" w:leftChars="0" w:firstLine="0" w:firstLineChars="0"/>
        <w:jc w:val="both"/>
        <w:rPr>
          <w:rFonts w:hint="eastAsia" w:eastAsia="宋体"/>
          <w:lang w:val="en-US" w:eastAsia="zh-CN"/>
        </w:rPr>
      </w:pPr>
      <w:bookmarkStart w:id="9" w:name="总图鸟瞰图"/>
      <w:bookmarkEnd w:id="9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6275" cy="3816985"/>
            <wp:effectExtent l="0" t="0" r="4445" b="8255"/>
            <wp:docPr id="27" name="图片 27" descr="40813660dae522c7bf1a1580de29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40813660dae522c7bf1a1580de293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0" w:name="OLE_LINK3"/>
      <w:bookmarkStart w:id="1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0"/>
      <w:bookmarkEnd w:id="11"/>
      <w:bookmarkStart w:id="12" w:name="总图平面图"/>
      <w:bookmarkEnd w:id="12"/>
    </w:p>
    <w:p>
      <w:pPr>
        <w:pStyle w:val="2"/>
      </w:pPr>
      <w:bookmarkStart w:id="13" w:name="_Toc22083"/>
      <w:bookmarkStart w:id="14" w:name="TitleFormat"/>
      <w:r>
        <w:rPr>
          <w:rFonts w:hint="eastAsia"/>
        </w:rPr>
        <w:t>设计依据</w:t>
      </w:r>
      <w:bookmarkEnd w:id="13"/>
    </w:p>
    <w:bookmarkEnd w:id="14"/>
    <w:p>
      <w:pPr>
        <w:widowControl w:val="0"/>
        <w:spacing w:line="360" w:lineRule="auto"/>
        <w:ind w:firstLine="420"/>
        <w:jc w:val="both"/>
        <w:rPr>
          <w:rFonts w:hint="default" w:eastAsia="宋体"/>
          <w:kern w:val="2"/>
          <w:szCs w:val="24"/>
          <w:lang w:val="en-US" w:eastAsia="zh-CN"/>
        </w:rPr>
      </w:pPr>
      <w:bookmarkStart w:id="15" w:name="计算依据"/>
      <w:bookmarkEnd w:id="15"/>
      <w:r>
        <w:rPr>
          <w:rFonts w:hint="eastAsia"/>
          <w:kern w:val="2"/>
          <w:szCs w:val="24"/>
          <w:lang w:val="en-US"/>
        </w:rPr>
        <w:t>《</w:t>
      </w:r>
      <w:r>
        <w:rPr>
          <w:rFonts w:hint="eastAsia"/>
          <w:kern w:val="2"/>
          <w:szCs w:val="24"/>
          <w:lang w:val="en-US" w:eastAsia="zh-CN"/>
        </w:rPr>
        <w:t>绿色建筑评价</w:t>
      </w:r>
      <w:r>
        <w:rPr>
          <w:rFonts w:hint="eastAsia"/>
          <w:kern w:val="2"/>
          <w:szCs w:val="24"/>
          <w:lang w:val="en-US"/>
        </w:rPr>
        <w:t>标准》</w:t>
      </w:r>
      <w:r>
        <w:rPr>
          <w:rFonts w:hint="eastAsia"/>
          <w:kern w:val="2"/>
          <w:szCs w:val="24"/>
          <w:lang w:val="en-US" w:eastAsia="zh-CN"/>
        </w:rPr>
        <w:t>GB/T 50378</w:t>
      </w:r>
      <w:r>
        <w:rPr>
          <w:kern w:val="2"/>
          <w:szCs w:val="24"/>
          <w:lang w:val="en-US"/>
        </w:rPr>
        <w:t>-20</w:t>
      </w:r>
      <w:r>
        <w:rPr>
          <w:rFonts w:hint="eastAsia"/>
          <w:kern w:val="2"/>
          <w:szCs w:val="24"/>
          <w:lang w:val="en-US" w:eastAsia="zh-CN"/>
        </w:rPr>
        <w:t>19</w:t>
      </w:r>
    </w:p>
    <w:p>
      <w:pPr>
        <w:pStyle w:val="2"/>
      </w:pPr>
      <w:bookmarkStart w:id="16" w:name="_Toc21770"/>
      <w:r>
        <w:rPr>
          <w:rFonts w:hint="eastAsia"/>
          <w:lang w:val="en-US" w:eastAsia="zh-CN"/>
        </w:rPr>
        <w:t>建筑数据提取</w:t>
      </w:r>
      <w:bookmarkEnd w:id="16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7545" cy="4142105"/>
            <wp:effectExtent l="0" t="0" r="3175" b="3175"/>
            <wp:docPr id="16" name="图片 16" descr="42463239d293c0cdd223a4a14d62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2463239d293c0cdd223a4a14d62d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pStyle w:val="2"/>
      </w:pPr>
      <w:bookmarkStart w:id="17" w:name="_Toc1887"/>
      <w:r>
        <w:rPr>
          <w:rFonts w:hint="eastAsia"/>
          <w:lang w:val="en-US" w:eastAsia="zh-CN"/>
        </w:rPr>
        <w:t>建筑全年逐时负荷</w:t>
      </w:r>
      <w:bookmarkEnd w:id="17"/>
    </w:p>
    <w:p>
      <w:pPr>
        <w:pStyle w:val="3"/>
        <w:ind w:left="0" w:leftChars="0" w:firstLine="0" w:firstLineChars="0"/>
      </w:pPr>
      <w:r>
        <w:drawing>
          <wp:inline distT="0" distB="0" distL="114300" distR="114300">
            <wp:extent cx="5755640" cy="3166745"/>
            <wp:effectExtent l="0" t="0" r="5080" b="3175"/>
            <wp:docPr id="15" name="图片 15" descr="微信图片_202212212346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1221234612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 xml:space="preserve">.1 </w:t>
      </w:r>
      <w:r>
        <w:rPr>
          <w:rFonts w:hint="eastAsia" w:ascii="宋体" w:hAnsi="宋体"/>
          <w:lang w:val="en-US" w:eastAsia="zh-CN"/>
        </w:rPr>
        <w:t>热负荷延时</w:t>
      </w:r>
      <w:r>
        <w:rPr>
          <w:rFonts w:hint="eastAsia" w:ascii="宋体" w:hAnsi="宋体"/>
        </w:rPr>
        <w:t>图</w:t>
      </w:r>
      <w:bookmarkStart w:id="36" w:name="_GoBack"/>
      <w:bookmarkEnd w:id="36"/>
    </w:p>
    <w:p>
      <w:pPr>
        <w:pStyle w:val="3"/>
        <w:ind w:left="0" w:leftChars="0" w:firstLine="0" w:firstLineChars="0"/>
      </w:pP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hint="eastAsia" w:ascii="Times New Roman" w:hAnsi="Times New Roman" w:eastAsia="宋体" w:cs="Times New Roman"/>
          <w:bCs/>
          <w:kern w:val="2"/>
          <w:lang w:eastAsia="zh-CN"/>
        </w:rPr>
      </w:pPr>
      <w:r>
        <w:rPr>
          <w:rFonts w:hint="eastAsia" w:ascii="Times New Roman" w:hAnsi="Times New Roman" w:eastAsia="宋体" w:cs="Times New Roman"/>
          <w:bCs/>
          <w:kern w:val="2"/>
          <w:lang w:eastAsia="zh-CN"/>
        </w:rPr>
        <w:drawing>
          <wp:inline distT="0" distB="0" distL="114300" distR="114300">
            <wp:extent cx="5751830" cy="2936240"/>
            <wp:effectExtent l="0" t="0" r="8890" b="5080"/>
            <wp:docPr id="14" name="图片 14" descr="微信图片_202212212346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1221234612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8" w:name="蒸发量参数"/>
      <w:bookmarkEnd w:id="18"/>
      <w:r>
        <w:rPr>
          <w:rFonts w:hint="eastAsia" w:ascii="宋体" w:hAnsi="宋体"/>
        </w:rPr>
        <w:t>图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.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建筑全年逐时负荷柱状图</w:t>
      </w:r>
    </w:p>
    <w:p>
      <w:pPr>
        <w:pStyle w:val="2"/>
      </w:pPr>
      <w:bookmarkStart w:id="19" w:name="_Toc21204"/>
      <w:r>
        <w:rPr>
          <w:rFonts w:hint="eastAsia"/>
          <w:lang w:val="en-US" w:eastAsia="zh-CN"/>
        </w:rPr>
        <w:t>原始建筑计算结果分析及结论</w:t>
      </w:r>
      <w:bookmarkEnd w:id="19"/>
    </w:p>
    <w:p>
      <w:pPr>
        <w:pStyle w:val="4"/>
      </w:pPr>
      <w:bookmarkStart w:id="20" w:name="_Toc15812"/>
      <w:r>
        <w:rPr>
          <w:rFonts w:hint="eastAsia"/>
          <w:lang w:val="en-US" w:eastAsia="zh-CN"/>
        </w:rPr>
        <w:t>建材生产运输碳排放计算</w:t>
      </w:r>
      <w:bookmarkEnd w:id="20"/>
    </w:p>
    <w:p>
      <w:pPr>
        <w:pStyle w:val="4"/>
        <w:numPr>
          <w:ilvl w:val="1"/>
          <w:numId w:val="0"/>
        </w:numPr>
        <w:ind w:leftChars="0"/>
      </w:pPr>
      <w:bookmarkStart w:id="21" w:name="_Toc30453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487035" cy="3426460"/>
            <wp:effectExtent l="0" t="0" r="14605" b="2540"/>
            <wp:docPr id="7" name="图片 7" descr="0e4abc25eeb7cb071fbf4221d71ec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e4abc25eeb7cb071fbf4221d71ecb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p>
      <w:pPr>
        <w:pStyle w:val="3"/>
        <w:ind w:left="0" w:leftChars="0" w:firstLine="0" w:firstLineChars="0"/>
        <w:rPr>
          <w:rFonts w:hint="default" w:eastAsia="宋体"/>
          <w:color w:val="auto"/>
          <w:lang w:val="en-US" w:eastAsia="zh-CN"/>
        </w:rPr>
      </w:pPr>
      <w:bookmarkStart w:id="22" w:name="建筑列表"/>
      <w:bookmarkEnd w:id="22"/>
      <w:r>
        <w:rPr>
          <w:rFonts w:hint="eastAsia"/>
          <w:b/>
          <w:bCs/>
          <w:color w:val="auto"/>
          <w:lang w:val="en-US" w:eastAsia="zh-CN"/>
        </w:rPr>
        <w:t>结果分析及结论</w:t>
      </w:r>
      <w:r>
        <w:rPr>
          <w:rFonts w:hint="eastAsia"/>
          <w:color w:val="auto"/>
          <w:lang w:val="en-US" w:eastAsia="zh-CN"/>
        </w:rPr>
        <w:t>：在建筑全生命周期中，建材生产的碳排放量为9541.550tCo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，建材运输的碳排放量为379.726tCo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</w:t>
      </w:r>
    </w:p>
    <w:p>
      <w:pPr>
        <w:pStyle w:val="4"/>
      </w:pPr>
      <w:bookmarkStart w:id="23" w:name="_Toc30609"/>
      <w:r>
        <w:rPr>
          <w:rFonts w:hint="eastAsia"/>
          <w:lang w:val="en-US" w:eastAsia="zh-CN"/>
        </w:rPr>
        <w:t>建筑建造拆除碳排放计算</w:t>
      </w:r>
      <w:bookmarkEnd w:id="23"/>
    </w:p>
    <w:p>
      <w:pPr>
        <w:pStyle w:val="3"/>
        <w:ind w:left="0" w:leftChars="0" w:firstLine="0" w:firstLineChars="0"/>
        <w:rPr>
          <w:rFonts w:hint="eastAsia" w:eastAsia="宋体"/>
          <w:lang w:eastAsia="zh-CN"/>
        </w:rPr>
      </w:pPr>
      <w:bookmarkStart w:id="24" w:name="住区指标概览"/>
      <w:bookmarkEnd w:id="24"/>
      <w:r>
        <w:rPr>
          <w:rFonts w:hint="eastAsia" w:eastAsia="宋体"/>
          <w:lang w:eastAsia="zh-CN"/>
        </w:rPr>
        <w:drawing>
          <wp:inline distT="0" distB="0" distL="114300" distR="114300">
            <wp:extent cx="5756275" cy="2943225"/>
            <wp:effectExtent l="0" t="0" r="4445" b="13335"/>
            <wp:docPr id="8" name="图片 8" descr="微信图片_202212212346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122123461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结果分析及结论</w:t>
      </w:r>
      <w:r>
        <w:rPr>
          <w:rFonts w:hint="eastAsia"/>
          <w:color w:val="auto"/>
          <w:lang w:val="en-US" w:eastAsia="zh-CN"/>
        </w:rPr>
        <w:t>：在建筑全生命周期中，建筑建造拆除的碳排放量为1566.517tCo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</w:t>
      </w:r>
    </w:p>
    <w:p>
      <w:pPr>
        <w:pStyle w:val="4"/>
        <w:rPr>
          <w:rFonts w:hint="default"/>
          <w:lang w:val="en-US" w:eastAsia="zh-CN"/>
        </w:rPr>
      </w:pPr>
      <w:bookmarkStart w:id="25" w:name="_Toc25253"/>
      <w:r>
        <w:rPr>
          <w:rFonts w:hint="eastAsia"/>
          <w:lang w:val="en-US" w:eastAsia="zh-CN"/>
        </w:rPr>
        <w:t>碳汇计算</w:t>
      </w:r>
      <w:bookmarkEnd w:id="25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6275" cy="3594735"/>
            <wp:effectExtent l="0" t="0" r="4445" b="1905"/>
            <wp:docPr id="2" name="图片 2" descr="e293efc808a3b944e9f627c6b2ad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93efc808a3b944e9f627c6b2ada4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color w:val="auto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结果分析及结论</w:t>
      </w:r>
      <w:r>
        <w:rPr>
          <w:rFonts w:hint="eastAsia"/>
          <w:color w:val="auto"/>
          <w:lang w:val="en-US" w:eastAsia="zh-CN"/>
        </w:rPr>
        <w:t>：在建筑全生命周期中，建筑周边的2000m</w:t>
      </w:r>
      <w:r>
        <w:rPr>
          <w:rFonts w:hint="eastAsia"/>
          <w:color w:val="auto"/>
          <w:vertAlign w:val="super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混种绿植的碳汇量为1800tCo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</w:t>
      </w:r>
    </w:p>
    <w:p>
      <w:pPr>
        <w:pStyle w:val="3"/>
        <w:ind w:left="0" w:leftChars="0" w:firstLine="0" w:firstLineChars="0"/>
        <w:rPr>
          <w:rFonts w:hint="default"/>
          <w:color w:val="auto"/>
          <w:vertAlign w:val="baseline"/>
          <w:lang w:val="en-US" w:eastAsia="zh-CN"/>
        </w:rPr>
      </w:pPr>
      <w:r>
        <w:rPr>
          <w:rFonts w:hint="eastAsia"/>
          <w:color w:val="auto"/>
          <w:vertAlign w:val="baseline"/>
          <w:lang w:val="en-US" w:eastAsia="zh-CN"/>
        </w:rPr>
        <w:t>藤蔓</w:t>
      </w:r>
    </w:p>
    <w:p>
      <w:pPr>
        <w:pStyle w:val="4"/>
      </w:pPr>
      <w:bookmarkStart w:id="26" w:name="_Toc18020"/>
      <w:r>
        <w:rPr>
          <w:rFonts w:hint="eastAsia"/>
          <w:lang w:val="en-US" w:eastAsia="zh-CN"/>
        </w:rPr>
        <w:t>建筑运行碳排放计算</w:t>
      </w:r>
      <w:bookmarkEnd w:id="26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3100" cy="3390900"/>
            <wp:effectExtent l="0" t="0" r="7620" b="7620"/>
            <wp:docPr id="4" name="图片 4" descr="4235ae6ff30035836c53e28be2a3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35ae6ff30035836c53e28be2a362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color w:val="auto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结果分析及结论</w:t>
      </w:r>
      <w:r>
        <w:rPr>
          <w:rFonts w:hint="eastAsia"/>
          <w:color w:val="auto"/>
          <w:lang w:val="en-US" w:eastAsia="zh-CN"/>
        </w:rPr>
        <w:t>：在建筑全生命周期中，建筑运行的碳排放总量为22155.871tCo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。其中用于建筑供暖用的园区燃气锅炉的碳排放量为10572.262</w:t>
      </w:r>
      <w:r>
        <w:rPr>
          <w:rFonts w:hint="eastAsia"/>
          <w:color w:val="auto"/>
          <w:lang w:val="en-US" w:eastAsia="zh-CN"/>
        </w:rPr>
        <w:t>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最大；其次是用于照明的碳排放量为6523.628</w:t>
      </w:r>
      <w:r>
        <w:rPr>
          <w:rFonts w:hint="eastAsia"/>
          <w:color w:val="auto"/>
          <w:lang w:val="en-US" w:eastAsia="zh-CN"/>
        </w:rPr>
        <w:t>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</w:t>
      </w:r>
    </w:p>
    <w:p>
      <w:pPr>
        <w:pStyle w:val="4"/>
        <w:rPr>
          <w:rFonts w:hint="eastAsia"/>
          <w:b/>
          <w:bCs/>
          <w:lang w:val="en-US" w:eastAsia="zh-CN"/>
        </w:rPr>
      </w:pPr>
      <w:bookmarkStart w:id="27" w:name="_Toc10534"/>
      <w:r>
        <w:rPr>
          <w:rFonts w:hint="eastAsia"/>
          <w:lang w:val="en-US" w:eastAsia="zh-CN"/>
        </w:rPr>
        <w:t>全生命周期碳排放汇总</w:t>
      </w:r>
      <w:bookmarkEnd w:id="27"/>
    </w:p>
    <w:p>
      <w:pPr>
        <w:pStyle w:val="3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607685" cy="2730500"/>
            <wp:effectExtent l="0" t="0" r="635" b="12700"/>
            <wp:docPr id="3" name="图片 3" descr="a3128045fb8174983faed281a9b3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128045fb8174983faed281a9b3413"/>
                    <pic:cNvPicPr>
                      <a:picLocks noChangeAspect="1"/>
                    </pic:cNvPicPr>
                  </pic:nvPicPr>
                  <pic:blipFill>
                    <a:blip r:embed="rId15"/>
                    <a:srcRect b="17387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结果分析及结论：</w:t>
      </w:r>
    </w:p>
    <w:p>
      <w:pPr>
        <w:pStyle w:val="3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lang w:val="en-US" w:eastAsia="zh-CN"/>
        </w:rPr>
        <w:t xml:space="preserve">以上四项碳排放量汇总后，在建筑全生命周期内，原始建筑的总碳排放量为31843.664 </w:t>
      </w:r>
      <w:r>
        <w:rPr>
          <w:rFonts w:hint="eastAsia"/>
          <w:color w:val="auto"/>
          <w:lang w:val="en-US" w:eastAsia="zh-CN"/>
        </w:rPr>
        <w:t>tCo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vertAlign w:val="baseline"/>
          <w:lang w:val="en-US" w:eastAsia="zh-CN"/>
        </w:rPr>
        <w:t>。</w:t>
      </w:r>
    </w:p>
    <w:p>
      <w:pPr>
        <w:pStyle w:val="2"/>
      </w:pPr>
      <w:bookmarkStart w:id="28" w:name="_Toc8207"/>
      <w:r>
        <w:rPr>
          <w:rFonts w:hint="eastAsia"/>
          <w:lang w:val="en-US" w:eastAsia="zh-CN"/>
        </w:rPr>
        <w:t>节能改造设计计算结果分析及结论</w:t>
      </w:r>
      <w:bookmarkEnd w:id="28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在全生命周期中建筑运行所占的碳排放量的比例高达65.85%，如何通过减碳的技术措施降低设备运行产生的碳排放，同时通过增加绿植来提高碳汇量抵消碳排放量，使建筑在全生命周期的碳排放量能够达到自给自足，是本改造设计的重点。</w:t>
      </w:r>
    </w:p>
    <w:p>
      <w:pPr>
        <w:pStyle w:val="3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改造措施：</w:t>
      </w: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将原有的燃气锅炉供暖改为地源热泵供暖；</w:t>
      </w:r>
    </w:p>
    <w:p>
      <w:pPr>
        <w:pStyle w:val="3"/>
        <w:numPr>
          <w:ilvl w:val="0"/>
          <w:numId w:val="2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在实验中心的1#2#建筑屋顶增设太阳能光伏发电板，为本建筑提供电力供应，多余的电力可以供应其他建筑；</w:t>
      </w:r>
    </w:p>
    <w:p>
      <w:pPr>
        <w:pStyle w:val="3"/>
        <w:numPr>
          <w:ilvl w:val="0"/>
          <w:numId w:val="2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将建筑内原有的普通照明灯具更换为节能的LED灯具；</w:t>
      </w:r>
    </w:p>
    <w:p>
      <w:pPr>
        <w:pStyle w:val="3"/>
        <w:numPr>
          <w:ilvl w:val="0"/>
          <w:numId w:val="2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增加植被的种植面积，增加碳汇量。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  <w:bookmarkStart w:id="29" w:name="_Toc16953"/>
      <w:r>
        <w:rPr>
          <w:rFonts w:hint="eastAsia"/>
          <w:lang w:val="en-US" w:eastAsia="zh-CN"/>
        </w:rPr>
        <w:t>碳汇计算</w:t>
      </w:r>
      <w:bookmarkEnd w:id="29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838190" cy="2985135"/>
            <wp:effectExtent l="0" t="0" r="13970" b="19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_Toc22971"/>
      <w:r>
        <w:rPr>
          <w:rFonts w:hint="eastAsia"/>
          <w:lang w:val="en-US" w:eastAsia="zh-CN"/>
        </w:rPr>
        <w:t>建筑运行碳排放计算</w:t>
      </w:r>
      <w:bookmarkEnd w:id="30"/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6275" cy="4752975"/>
            <wp:effectExtent l="0" t="0" r="4445" b="1905"/>
            <wp:docPr id="17" name="图片 17" descr="4027f4eab3056ea19371f5da18d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027f4eab3056ea19371f5da18d718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b/>
          <w:bCs/>
          <w:lang w:val="en-US" w:eastAsia="zh-CN"/>
        </w:rPr>
      </w:pPr>
      <w:bookmarkStart w:id="31" w:name="_Toc8484"/>
      <w:r>
        <w:rPr>
          <w:rFonts w:hint="eastAsia"/>
          <w:lang w:val="en-US" w:eastAsia="zh-CN"/>
        </w:rPr>
        <w:t>全生命周期碳排放汇总</w:t>
      </w:r>
      <w:bookmarkEnd w:id="31"/>
    </w:p>
    <w:p>
      <w:pPr>
        <w:pStyle w:val="3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753735" cy="2933065"/>
            <wp:effectExtent l="0" t="0" r="6985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rcRect l="960" r="838" b="2114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32" w:name="平均热岛强度图片"/>
      <w:bookmarkEnd w:id="32"/>
      <w:bookmarkStart w:id="33" w:name="_Toc16494786"/>
      <w:bookmarkStart w:id="34" w:name="_Toc18772"/>
      <w:r>
        <w:rPr>
          <w:rFonts w:hint="eastAsia"/>
        </w:rPr>
        <w:t>结论</w:t>
      </w:r>
      <w:bookmarkEnd w:id="33"/>
      <w:bookmarkEnd w:id="34"/>
    </w:p>
    <w:p>
      <w:pPr>
        <w:pStyle w:val="3"/>
        <w:rPr>
          <w:rFonts w:hint="eastAsia"/>
          <w:b/>
          <w:bCs/>
          <w:lang w:val="en-US" w:eastAsia="zh-CN"/>
        </w:rPr>
      </w:pPr>
      <w:bookmarkStart w:id="35" w:name="结论"/>
      <w:bookmarkEnd w:id="35"/>
      <w:r>
        <w:rPr>
          <w:rFonts w:hint="eastAsia"/>
          <w:b/>
          <w:bCs/>
          <w:lang w:val="en-US" w:eastAsia="zh-CN"/>
        </w:rPr>
        <w:t>减碳改造措施：</w:t>
      </w:r>
    </w:p>
    <w:p>
      <w:pPr>
        <w:pStyle w:val="3"/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将原有的燃气锅炉供暖改为地源热泵供暖，减碳量为5372tCo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；</w:t>
      </w:r>
    </w:p>
    <w:p>
      <w:pPr>
        <w:pStyle w:val="3"/>
        <w:numPr>
          <w:ilvl w:val="0"/>
          <w:numId w:val="3"/>
        </w:num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在实验中心的1#2#建筑屋顶增设1800m2太阳能光伏发电板，为本建筑提供电力供应，多余的电力可以供应其他建筑，减碳量20445.7tCo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；</w:t>
      </w:r>
    </w:p>
    <w:p>
      <w:pPr>
        <w:pStyle w:val="3"/>
        <w:numPr>
          <w:ilvl w:val="0"/>
          <w:numId w:val="3"/>
        </w:num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将建筑内原有的普通照明灯具更换为节能的LED灯具，照明的碳排放量由原来的6523tCo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，降至3009tCo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，减碳量3514tCo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；</w:t>
      </w:r>
    </w:p>
    <w:p>
      <w:pPr>
        <w:pStyle w:val="3"/>
        <w:numPr>
          <w:ilvl w:val="0"/>
          <w:numId w:val="3"/>
        </w:num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增加植被的种植面积，在实验中心的周边增加混种植被，在1#、2#和3#楼的屋面增加屋顶绿化，增加碳汇量2808tCo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，同时提高了校区的景观观赏度。</w:t>
      </w:r>
    </w:p>
    <w:p>
      <w:pPr>
        <w:pStyle w:val="3"/>
        <w:numPr>
          <w:ilvl w:val="0"/>
          <w:numId w:val="0"/>
        </w:numPr>
        <w:ind w:firstLine="422" w:firstLineChars="200"/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总结：以上4项举措在全生命周期内将全部碳排放抵消的同时，还多出2100.57tCo</w:t>
      </w:r>
      <w:r>
        <w:rPr>
          <w:rFonts w:hint="eastAsia"/>
          <w:b/>
          <w:bCs/>
          <w:color w:val="FF0000"/>
          <w:vertAlign w:val="subscript"/>
          <w:lang w:val="en-US" w:eastAsia="zh-CN"/>
        </w:rPr>
        <w:t>2</w:t>
      </w:r>
      <w:r>
        <w:rPr>
          <w:rFonts w:hint="eastAsia"/>
          <w:b/>
          <w:bCs/>
          <w:color w:val="FF0000"/>
          <w:lang w:val="en-US" w:eastAsia="zh-CN"/>
        </w:rPr>
        <w:t>可供其他建筑抵消。</w:t>
      </w:r>
    </w:p>
    <w:p>
      <w:pPr>
        <w:pStyle w:val="3"/>
        <w:ind w:firstLine="420"/>
        <w:rPr>
          <w:rFonts w:hint="eastAsia" w:eastAsia="宋体"/>
          <w:lang w:val="en-US" w:eastAsia="zh-CN"/>
        </w:rPr>
      </w:pPr>
    </w:p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7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3D669"/>
    <w:multiLevelType w:val="singleLevel"/>
    <w:tmpl w:val="8233D669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C2663CD3"/>
    <w:multiLevelType w:val="singleLevel"/>
    <w:tmpl w:val="C2663CD3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TcyNmM0Zjg4MjdhZjQ1Y2FhZDgyYWRjYzFiYzIifQ=="/>
  </w:docVars>
  <w:rsids>
    <w:rsidRoot w:val="3DC3290C"/>
    <w:rsid w:val="00000802"/>
    <w:rsid w:val="0000545C"/>
    <w:rsid w:val="0001409C"/>
    <w:rsid w:val="00026342"/>
    <w:rsid w:val="00026B3F"/>
    <w:rsid w:val="00037A4C"/>
    <w:rsid w:val="00051EA5"/>
    <w:rsid w:val="000A30EF"/>
    <w:rsid w:val="000B10AF"/>
    <w:rsid w:val="000B2169"/>
    <w:rsid w:val="000B2FE8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F0C69"/>
    <w:rsid w:val="002F10B3"/>
    <w:rsid w:val="002F1F5C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4F21"/>
    <w:rsid w:val="003B0012"/>
    <w:rsid w:val="003B1855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613298"/>
    <w:rsid w:val="006132D3"/>
    <w:rsid w:val="00620211"/>
    <w:rsid w:val="0063211B"/>
    <w:rsid w:val="00634B5C"/>
    <w:rsid w:val="00651069"/>
    <w:rsid w:val="0065187B"/>
    <w:rsid w:val="0067336D"/>
    <w:rsid w:val="00685427"/>
    <w:rsid w:val="00694FCA"/>
    <w:rsid w:val="00695E82"/>
    <w:rsid w:val="006A159C"/>
    <w:rsid w:val="006A38D1"/>
    <w:rsid w:val="006B5695"/>
    <w:rsid w:val="006C3941"/>
    <w:rsid w:val="00710FCB"/>
    <w:rsid w:val="0072017E"/>
    <w:rsid w:val="0072214C"/>
    <w:rsid w:val="007514FE"/>
    <w:rsid w:val="0076735C"/>
    <w:rsid w:val="00767D6D"/>
    <w:rsid w:val="00774599"/>
    <w:rsid w:val="007D1A35"/>
    <w:rsid w:val="007F57A4"/>
    <w:rsid w:val="008329E7"/>
    <w:rsid w:val="00872A29"/>
    <w:rsid w:val="00883D6C"/>
    <w:rsid w:val="00886207"/>
    <w:rsid w:val="00897FCE"/>
    <w:rsid w:val="008B6B76"/>
    <w:rsid w:val="008E3905"/>
    <w:rsid w:val="008F4A97"/>
    <w:rsid w:val="009115AF"/>
    <w:rsid w:val="00917B5B"/>
    <w:rsid w:val="0092562F"/>
    <w:rsid w:val="00935D40"/>
    <w:rsid w:val="00940A35"/>
    <w:rsid w:val="009410A0"/>
    <w:rsid w:val="009744B2"/>
    <w:rsid w:val="00981F50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305A7"/>
    <w:rsid w:val="00A32590"/>
    <w:rsid w:val="00A355BD"/>
    <w:rsid w:val="00A402EA"/>
    <w:rsid w:val="00A53163"/>
    <w:rsid w:val="00A83D4E"/>
    <w:rsid w:val="00A85330"/>
    <w:rsid w:val="00A914AE"/>
    <w:rsid w:val="00AA47FE"/>
    <w:rsid w:val="00AA5071"/>
    <w:rsid w:val="00AA7C65"/>
    <w:rsid w:val="00AB536D"/>
    <w:rsid w:val="00AC7EEF"/>
    <w:rsid w:val="00B047B3"/>
    <w:rsid w:val="00B107D2"/>
    <w:rsid w:val="00B16C0D"/>
    <w:rsid w:val="00B41640"/>
    <w:rsid w:val="00B4240C"/>
    <w:rsid w:val="00B55B22"/>
    <w:rsid w:val="00B60841"/>
    <w:rsid w:val="00B60BAD"/>
    <w:rsid w:val="00B645C9"/>
    <w:rsid w:val="00B7457E"/>
    <w:rsid w:val="00BB1C06"/>
    <w:rsid w:val="00BD07CF"/>
    <w:rsid w:val="00BD4A14"/>
    <w:rsid w:val="00BE09CD"/>
    <w:rsid w:val="00BE4349"/>
    <w:rsid w:val="00C0203A"/>
    <w:rsid w:val="00C02441"/>
    <w:rsid w:val="00C22165"/>
    <w:rsid w:val="00C22E6B"/>
    <w:rsid w:val="00C32022"/>
    <w:rsid w:val="00C3317F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16C4"/>
    <w:rsid w:val="00DD278F"/>
    <w:rsid w:val="00DD42A2"/>
    <w:rsid w:val="00DF470C"/>
    <w:rsid w:val="00E05530"/>
    <w:rsid w:val="00E16221"/>
    <w:rsid w:val="00E30A77"/>
    <w:rsid w:val="00E423BB"/>
    <w:rsid w:val="00E4518A"/>
    <w:rsid w:val="00E70834"/>
    <w:rsid w:val="00E72EFD"/>
    <w:rsid w:val="00E75AC2"/>
    <w:rsid w:val="00E76134"/>
    <w:rsid w:val="00E81ACD"/>
    <w:rsid w:val="00EA0210"/>
    <w:rsid w:val="00EA1164"/>
    <w:rsid w:val="00EA741A"/>
    <w:rsid w:val="00EB3EEF"/>
    <w:rsid w:val="00EC27F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57037"/>
    <w:rsid w:val="00F75DD1"/>
    <w:rsid w:val="00F8427B"/>
    <w:rsid w:val="00F90890"/>
    <w:rsid w:val="00FA4B87"/>
    <w:rsid w:val="00FA733F"/>
    <w:rsid w:val="00FC0388"/>
    <w:rsid w:val="00FC105B"/>
    <w:rsid w:val="00FD32A2"/>
    <w:rsid w:val="00FF2243"/>
    <w:rsid w:val="00FF354D"/>
    <w:rsid w:val="00FF6C59"/>
    <w:rsid w:val="03290FAB"/>
    <w:rsid w:val="0BAD7FE1"/>
    <w:rsid w:val="139D0B46"/>
    <w:rsid w:val="16F202DD"/>
    <w:rsid w:val="1D831FE4"/>
    <w:rsid w:val="1DD55409"/>
    <w:rsid w:val="251913F0"/>
    <w:rsid w:val="35015AE7"/>
    <w:rsid w:val="3A86563A"/>
    <w:rsid w:val="3DC3290C"/>
    <w:rsid w:val="42BA57F4"/>
    <w:rsid w:val="43E00B6A"/>
    <w:rsid w:val="4B377B85"/>
    <w:rsid w:val="50C62AEC"/>
    <w:rsid w:val="53B81B80"/>
    <w:rsid w:val="5B466E6A"/>
    <w:rsid w:val="5B84161C"/>
    <w:rsid w:val="5E8473FE"/>
    <w:rsid w:val="66B05503"/>
    <w:rsid w:val="6AAA2A1C"/>
    <w:rsid w:val="747F57DB"/>
    <w:rsid w:val="756E33C9"/>
    <w:rsid w:val="786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2659</Words>
  <Characters>4157</Characters>
  <Lines>24</Lines>
  <Paragraphs>6</Paragraphs>
  <TotalTime>55</TotalTime>
  <ScaleCrop>false</ScaleCrop>
  <LinksUpToDate>false</LinksUpToDate>
  <CharactersWithSpaces>4219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2022-01-06T03:13:00Z</dcterms:created>
  <dc:creator>呂慧潔</dc:creator>
  <cp:lastModifiedBy>Administrator</cp:lastModifiedBy>
  <dcterms:modified xsi:type="dcterms:W3CDTF">2023-01-02T11:20:07Z</dcterms:modified>
  <dc:title>住区热环境评价性设计计算书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0C0D747A828245FF8CF09C3E1887FFE3</vt:lpwstr>
  </property>
</Properties>
</file>