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jc w:val="center"/>
        <w:textAlignment w:val="auto"/>
        <w:rPr>
          <w:rFonts w:hint="eastAsia" w:ascii="黑体" w:hAnsi="黑体" w:eastAsia="黑体" w:cs="黑体"/>
          <w:b/>
          <w:sz w:val="48"/>
          <w:szCs w:val="48"/>
          <w:lang w:val="en-US" w:eastAsia="zh-CN"/>
        </w:rPr>
      </w:pPr>
      <w:bookmarkStart w:id="0" w:name="_Toc18852"/>
      <w:r>
        <w:rPr>
          <w:rFonts w:hint="eastAsia" w:ascii="黑体" w:hAnsi="黑体" w:eastAsia="黑体" w:cs="黑体"/>
          <w:b/>
          <w:sz w:val="48"/>
          <w:szCs w:val="48"/>
          <w:lang w:val="en-US" w:eastAsia="zh-CN"/>
        </w:rPr>
        <w:t>运行维护管理方案</w:t>
      </w:r>
      <w:bookmarkEnd w:id="0"/>
    </w:p>
    <w:p>
      <w:pPr>
        <w:rPr>
          <w:rFonts w:hint="eastAsia" w:ascii="黑体" w:hAnsi="黑体" w:eastAsia="黑体" w:cs="黑体"/>
          <w:b/>
          <w:sz w:val="30"/>
          <w:szCs w:val="30"/>
          <w:lang w:val="en-US" w:eastAsia="zh-CN"/>
        </w:rPr>
      </w:pPr>
    </w:p>
    <w:p>
      <w:pPr>
        <w:pStyle w:val="2"/>
        <w:rPr>
          <w:rFonts w:hint="eastAsia" w:ascii="黑体" w:hAnsi="黑体" w:eastAsia="黑体" w:cs="黑体"/>
          <w:b/>
          <w:sz w:val="30"/>
          <w:szCs w:val="30"/>
          <w:lang w:val="en-US" w:eastAsia="zh-CN"/>
        </w:rPr>
      </w:pPr>
    </w:p>
    <w:p>
      <w:pPr>
        <w:pStyle w:val="2"/>
        <w:rPr>
          <w:rFonts w:hint="eastAsia" w:ascii="黑体" w:hAnsi="黑体" w:eastAsia="黑体" w:cs="黑体"/>
          <w:b/>
          <w:sz w:val="30"/>
          <w:szCs w:val="30"/>
          <w:lang w:val="en-US" w:eastAsia="zh-CN"/>
        </w:rPr>
      </w:pPr>
    </w:p>
    <w:p>
      <w:pPr>
        <w:pStyle w:val="2"/>
        <w:rPr>
          <w:rFonts w:hint="eastAsia" w:ascii="黑体" w:hAnsi="黑体" w:eastAsia="黑体" w:cs="黑体"/>
          <w:b/>
          <w:sz w:val="30"/>
          <w:szCs w:val="30"/>
          <w:lang w:val="en-US" w:eastAsia="zh-CN"/>
        </w:rPr>
      </w:pPr>
    </w:p>
    <w:p>
      <w:pPr>
        <w:spacing w:line="360" w:lineRule="auto"/>
        <w:jc w:val="center"/>
        <w:rPr>
          <w:rFonts w:hint="eastAsia" w:ascii="黑体" w:hAnsi="黑体" w:eastAsia="黑体" w:cs="黑体"/>
          <w:sz w:val="36"/>
          <w:szCs w:val="36"/>
          <w:lang w:val="en-GB" w:eastAsia="zh-CN"/>
        </w:rPr>
      </w:pPr>
      <w:r>
        <w:rPr>
          <w:rFonts w:hint="eastAsia" w:ascii="黑体" w:hAnsi="黑体" w:eastAsia="黑体" w:cs="黑体"/>
          <w:sz w:val="36"/>
          <w:szCs w:val="36"/>
          <w:lang w:val="en-US" w:eastAsia="zh-CN"/>
        </w:rPr>
        <w:t>《</w:t>
      </w:r>
      <w:r>
        <w:rPr>
          <w:rFonts w:hint="eastAsia" w:ascii="黑体" w:hAnsi="黑体" w:eastAsia="黑体" w:cs="黑体"/>
          <w:color w:val="000000"/>
          <w:sz w:val="36"/>
          <w:szCs w:val="36"/>
          <w:highlight w:val="none"/>
        </w:rPr>
        <w:t>“碳”索未来-实验中心低碳节能改造</w:t>
      </w:r>
      <w:r>
        <w:rPr>
          <w:rFonts w:hint="eastAsia" w:ascii="黑体" w:hAnsi="黑体" w:eastAsia="黑体" w:cs="黑体"/>
          <w:color w:val="000000"/>
          <w:sz w:val="36"/>
          <w:szCs w:val="36"/>
        </w:rPr>
        <w:t>及</w:t>
      </w:r>
      <w:r>
        <w:rPr>
          <w:rFonts w:hint="eastAsia" w:ascii="黑体" w:hAnsi="黑体" w:eastAsia="黑体" w:cs="黑体"/>
          <w:color w:val="000000"/>
          <w:sz w:val="36"/>
          <w:szCs w:val="36"/>
          <w:lang w:val="en-US" w:eastAsia="zh-CN"/>
        </w:rPr>
        <w:t>智能</w:t>
      </w:r>
      <w:r>
        <w:rPr>
          <w:rFonts w:hint="eastAsia" w:ascii="黑体" w:hAnsi="黑体" w:eastAsia="黑体" w:cs="黑体"/>
          <w:color w:val="000000"/>
          <w:sz w:val="36"/>
          <w:szCs w:val="36"/>
        </w:rPr>
        <w:t>运维</w:t>
      </w:r>
      <w:r>
        <w:rPr>
          <w:rFonts w:hint="eastAsia" w:ascii="黑体" w:hAnsi="黑体" w:eastAsia="黑体" w:cs="黑体"/>
          <w:sz w:val="36"/>
          <w:szCs w:val="36"/>
          <w:lang w:val="en-GB" w:eastAsia="zh-CN"/>
        </w:rPr>
        <w:t>》</w:t>
      </w:r>
    </w:p>
    <w:p>
      <w:pPr>
        <w:spacing w:line="360" w:lineRule="auto"/>
        <w:jc w:val="center"/>
        <w:rPr>
          <w:rFonts w:hint="eastAsia" w:ascii="黑体" w:hAnsi="黑体" w:eastAsia="黑体" w:cs="黑体"/>
          <w:sz w:val="36"/>
          <w:szCs w:val="36"/>
          <w:lang w:val="en-GB" w:eastAsia="zh-CN"/>
        </w:rPr>
      </w:pPr>
    </w:p>
    <w:p>
      <w:pPr>
        <w:spacing w:line="360" w:lineRule="auto"/>
        <w:jc w:val="center"/>
        <w:rPr>
          <w:rFonts w:hint="eastAsia" w:ascii="方正小标宋简体" w:hAnsi="方正小标宋简体" w:eastAsia="方正小标宋简体" w:cs="方正小标宋简体"/>
          <w:sz w:val="44"/>
          <w:szCs w:val="44"/>
          <w:lang w:val="en-GB" w:eastAsia="zh-CN"/>
        </w:rPr>
      </w:pPr>
    </w:p>
    <w:tbl>
      <w:tblPr>
        <w:tblStyle w:val="8"/>
        <w:tblpPr w:leftFromText="180" w:rightFromText="180" w:vertAnchor="text" w:horzAnchor="page" w:tblpX="2653" w:tblpY="92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5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0" w:type="dxa"/>
            <w:tcBorders>
              <w:top w:val="single" w:color="auto" w:sz="12" w:space="0"/>
              <w:bottom w:val="single" w:color="auto" w:sz="6" w:space="0"/>
            </w:tcBorders>
            <w:shd w:val="clear" w:color="auto" w:fill="E6E6E6"/>
            <w:noWrap w:val="0"/>
            <w:vAlign w:val="top"/>
          </w:tcPr>
          <w:p>
            <w:pPr>
              <w:pStyle w:val="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5017" w:type="dxa"/>
            <w:noWrap w:val="0"/>
            <w:vAlign w:val="top"/>
          </w:tcPr>
          <w:p>
            <w:pPr>
              <w:pStyle w:val="6"/>
              <w:tabs>
                <w:tab w:val="clear" w:pos="4153"/>
                <w:tab w:val="clear" w:pos="8306"/>
              </w:tabs>
              <w:snapToGrid/>
              <w:jc w:val="both"/>
              <w:rPr>
                <w:rFonts w:ascii="宋体" w:hAnsi="宋体"/>
                <w:szCs w:val="21"/>
              </w:rPr>
            </w:pPr>
            <w:r>
              <w:rPr>
                <w:rFonts w:hint="eastAsia" w:ascii="Times New Roman" w:hAnsi="Times New Roman" w:eastAsia="宋体" w:cs="Times New Roman"/>
                <w:sz w:val="21"/>
                <w:szCs w:val="20"/>
                <w:lang w:val="en-GB" w:eastAsia="zh-CN" w:bidi="ar-SA"/>
              </w:rPr>
              <w:t>“碳”索未来-实验中心低碳节能改造及</w:t>
            </w:r>
            <w:r>
              <w:rPr>
                <w:rFonts w:hint="eastAsia" w:ascii="Times New Roman" w:hAnsi="Times New Roman" w:eastAsia="宋体" w:cs="Times New Roman"/>
                <w:sz w:val="21"/>
                <w:szCs w:val="20"/>
                <w:lang w:val="en-US" w:eastAsia="zh-CN" w:bidi="ar-SA"/>
              </w:rPr>
              <w:t>智能</w:t>
            </w:r>
            <w:r>
              <w:rPr>
                <w:rFonts w:hint="eastAsia" w:ascii="Times New Roman" w:hAnsi="Times New Roman" w:eastAsia="宋体" w:cs="Times New Roman"/>
                <w:sz w:val="21"/>
                <w:szCs w:val="20"/>
                <w:lang w:val="en-GB" w:eastAsia="zh-CN" w:bidi="ar-SA"/>
              </w:rPr>
              <w:t>运维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工程地点</w:t>
            </w:r>
          </w:p>
        </w:tc>
        <w:tc>
          <w:tcPr>
            <w:tcW w:w="5017" w:type="dxa"/>
            <w:noWrap w:val="0"/>
            <w:vAlign w:val="top"/>
          </w:tcPr>
          <w:p>
            <w:pPr>
              <w:jc w:val="both"/>
              <w:rPr>
                <w:rFonts w:ascii="宋体" w:hAnsi="宋体"/>
                <w:szCs w:val="21"/>
              </w:rPr>
            </w:pPr>
            <w:bookmarkStart w:id="1" w:name="地理位置"/>
            <w:r>
              <w:t>沈阳</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lang w:val="en-US" w:eastAsia="zh-CN"/>
              </w:rPr>
              <w:t>作品</w:t>
            </w:r>
            <w:r>
              <w:rPr>
                <w:rFonts w:hint="eastAsia" w:ascii="宋体" w:hAnsi="宋体"/>
                <w:szCs w:val="21"/>
              </w:rPr>
              <w:t>编号</w:t>
            </w:r>
          </w:p>
        </w:tc>
        <w:tc>
          <w:tcPr>
            <w:tcW w:w="5017" w:type="dxa"/>
            <w:noWrap w:val="0"/>
            <w:vAlign w:val="top"/>
          </w:tcPr>
          <w:p>
            <w:pPr>
              <w:jc w:val="both"/>
              <w:rPr>
                <w:rFonts w:ascii="宋体" w:hAnsi="宋体"/>
                <w:szCs w:val="21"/>
              </w:rPr>
            </w:pPr>
            <w:bookmarkStart w:id="2" w:name="设计编号"/>
            <w:bookmarkEnd w:id="2"/>
            <w:r>
              <w:rPr>
                <w:rFonts w:hint="eastAsia" w:ascii="宋体" w:hAnsi="宋体"/>
                <w:szCs w:val="21"/>
              </w:rPr>
              <w:t>BKB50050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0" w:type="dxa"/>
            <w:tcBorders>
              <w:top w:val="single" w:color="auto" w:sz="6" w:space="0"/>
              <w:bottom w:val="single" w:color="auto" w:sz="12" w:space="0"/>
            </w:tcBorders>
            <w:shd w:val="clear" w:color="auto" w:fill="E6E6E6"/>
            <w:noWrap w:val="0"/>
            <w:vAlign w:val="top"/>
          </w:tcPr>
          <w:p>
            <w:pPr>
              <w:jc w:val="both"/>
              <w:rPr>
                <w:rFonts w:ascii="宋体" w:hAnsi="宋体"/>
                <w:szCs w:val="21"/>
              </w:rPr>
            </w:pPr>
            <w:r>
              <w:rPr>
                <w:rFonts w:hint="eastAsia" w:ascii="宋体" w:hAnsi="宋体"/>
                <w:szCs w:val="21"/>
              </w:rPr>
              <w:t>设计日期</w:t>
            </w:r>
          </w:p>
        </w:tc>
        <w:tc>
          <w:tcPr>
            <w:tcW w:w="5017" w:type="dxa"/>
            <w:noWrap w:val="0"/>
            <w:vAlign w:val="top"/>
          </w:tcPr>
          <w:p>
            <w:pPr>
              <w:rPr>
                <w:rFonts w:hint="default" w:ascii="宋体" w:hAnsi="宋体" w:eastAsia="宋体"/>
                <w:szCs w:val="21"/>
                <w:lang w:val="en-US" w:eastAsia="zh-CN"/>
              </w:rPr>
            </w:pPr>
            <w:bookmarkStart w:id="3" w:name="报告日期"/>
            <w:bookmarkEnd w:id="3"/>
            <w:r>
              <w:rPr>
                <w:rFonts w:hint="eastAsia" w:ascii="宋体" w:hAnsi="宋体"/>
                <w:szCs w:val="21"/>
                <w:lang w:val="en-US" w:eastAsia="zh-CN"/>
              </w:rPr>
              <w:t>2022.12</w:t>
            </w:r>
          </w:p>
        </w:tc>
      </w:tr>
    </w:tbl>
    <w:p>
      <w:pPr>
        <w:spacing w:line="360" w:lineRule="auto"/>
        <w:jc w:val="center"/>
        <w:rPr>
          <w:rFonts w:hint="eastAsia" w:ascii="方正小标宋简体" w:hAnsi="方正小标宋简体" w:eastAsia="方正小标宋简体" w:cs="方正小标宋简体"/>
          <w:sz w:val="44"/>
          <w:szCs w:val="44"/>
          <w:lang w:val="en-GB" w:eastAsia="zh-CN"/>
        </w:rPr>
      </w:pPr>
    </w:p>
    <w:p>
      <w:pPr>
        <w:spacing w:line="360" w:lineRule="auto"/>
        <w:jc w:val="center"/>
        <w:rPr>
          <w:rFonts w:hint="eastAsia" w:ascii="方正小标宋简体" w:hAnsi="方正小标宋简体" w:eastAsia="方正小标宋简体" w:cs="方正小标宋简体"/>
          <w:sz w:val="44"/>
          <w:szCs w:val="44"/>
          <w:lang w:val="en-GB" w:eastAsia="zh-CN"/>
        </w:rPr>
      </w:pPr>
    </w:p>
    <w:p>
      <w:pPr>
        <w:pStyle w:val="2"/>
        <w:rPr>
          <w:rFonts w:hint="eastAsia" w:ascii="黑体" w:hAnsi="黑体" w:eastAsia="黑体" w:cs="黑体"/>
          <w:b/>
          <w:sz w:val="30"/>
          <w:szCs w:val="30"/>
          <w:lang w:val="en-US" w:eastAsia="zh-CN"/>
        </w:rPr>
      </w:pPr>
      <w:r>
        <w:rPr>
          <w:rFonts w:hint="eastAsia" w:ascii="方正小标宋简体" w:hAnsi="方正小标宋简体" w:eastAsia="方正小标宋简体" w:cs="方正小标宋简体"/>
          <w:sz w:val="44"/>
          <w:szCs w:val="44"/>
          <w:lang w:val="en-US" w:eastAsia="zh-CN"/>
        </w:rPr>
        <w:br w:type="page"/>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黑体" w:hAnsi="黑体" w:eastAsia="黑体" w:cs="黑体"/>
          <w:sz w:val="28"/>
          <w:szCs w:val="22"/>
          <w:lang w:val="en-US" w:eastAsia="zh-CN"/>
        </w:rPr>
      </w:pPr>
      <w:bookmarkStart w:id="4" w:name="_Toc17813"/>
      <w:r>
        <w:rPr>
          <w:rFonts w:hint="eastAsia" w:ascii="黑体" w:hAnsi="黑体" w:eastAsia="黑体" w:cs="黑体"/>
          <w:sz w:val="28"/>
          <w:szCs w:val="22"/>
          <w:lang w:val="en-US" w:eastAsia="zh-CN"/>
        </w:rPr>
        <w:t>1</w:t>
      </w:r>
      <w:r>
        <w:rPr>
          <w:rFonts w:hint="eastAsia" w:ascii="黑体" w:hAnsi="黑体" w:cs="黑体"/>
          <w:sz w:val="28"/>
          <w:szCs w:val="22"/>
          <w:lang w:val="en-US" w:eastAsia="zh-CN"/>
        </w:rPr>
        <w:t xml:space="preserve">. </w:t>
      </w:r>
      <w:r>
        <w:rPr>
          <w:rFonts w:hint="eastAsia" w:ascii="黑体" w:hAnsi="黑体" w:eastAsia="黑体" w:cs="黑体"/>
          <w:sz w:val="28"/>
          <w:szCs w:val="22"/>
          <w:lang w:val="en-US" w:eastAsia="zh-CN"/>
        </w:rPr>
        <w:t>建筑运行管理概述</w:t>
      </w:r>
      <w:bookmarkEnd w:id="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筑的运行阶段占整个建筑全生命时限的95%以上，要实现“四节一环保”目标，不仅在规划、设计和建造阶段，更需要提升和优化运行阶段的管理技术水平和模式。在保证对建筑使用者的健康、舒适性和工作效率的同时，还要考虑建筑及建筑设备运行时是否节能减排，由此可以确定建筑设备运行管理的原则包括三个方面：控制室内空气品质、控制热舒适性、节能减排。</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黑体" w:hAnsi="黑体" w:eastAsia="黑体" w:cs="黑体"/>
          <w:b/>
          <w:sz w:val="28"/>
          <w:szCs w:val="22"/>
          <w:lang w:val="en-US" w:eastAsia="zh-CN"/>
        </w:rPr>
      </w:pPr>
      <w:bookmarkStart w:id="5" w:name="_Toc30245"/>
      <w:r>
        <w:rPr>
          <w:rFonts w:hint="eastAsia" w:ascii="黑体" w:hAnsi="黑体" w:eastAsia="黑体" w:cs="黑体"/>
          <w:b/>
          <w:sz w:val="28"/>
          <w:szCs w:val="22"/>
          <w:lang w:val="en-US" w:eastAsia="zh-CN"/>
        </w:rPr>
        <w:t>2</w:t>
      </w:r>
      <w:r>
        <w:rPr>
          <w:rFonts w:hint="eastAsia" w:ascii="黑体" w:hAnsi="黑体" w:cs="黑体"/>
          <w:b/>
          <w:sz w:val="28"/>
          <w:szCs w:val="22"/>
          <w:lang w:val="en-US" w:eastAsia="zh-CN"/>
        </w:rPr>
        <w:t xml:space="preserve">. </w:t>
      </w:r>
      <w:r>
        <w:rPr>
          <w:rFonts w:hint="eastAsia" w:ascii="黑体" w:hAnsi="黑体" w:eastAsia="黑体" w:cs="黑体"/>
          <w:b/>
          <w:sz w:val="28"/>
          <w:szCs w:val="22"/>
          <w:lang w:val="en-US" w:eastAsia="zh-CN"/>
        </w:rPr>
        <w:t>室内环境参数管理</w:t>
      </w:r>
      <w:bookmarkEnd w:id="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（1）合理确定室内温度、湿度和风速。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本项目地点位于沈阳，属于严寒C区。建筑内部的主要功能为实验教室和部分办公室，因此室内温度</w:t>
      </w:r>
      <w:r>
        <w:rPr>
          <w:rFonts w:hint="default" w:ascii="仿宋" w:hAnsi="仿宋" w:eastAsia="仿宋" w:cs="仿宋"/>
          <w:sz w:val="28"/>
          <w:szCs w:val="28"/>
          <w:lang w:val="en-US" w:eastAsia="zh-CN"/>
        </w:rPr>
        <w:t>在采暖期控制在1</w:t>
      </w: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℃左右，制冷期控制在27℃</w:t>
      </w:r>
      <w:r>
        <w:rPr>
          <w:rFonts w:hint="eastAsia" w:ascii="仿宋" w:hAnsi="仿宋" w:eastAsia="仿宋" w:cs="仿宋"/>
          <w:sz w:val="28"/>
          <w:szCs w:val="28"/>
          <w:lang w:val="en-US" w:eastAsia="zh-CN"/>
        </w:rPr>
        <w:t>左右。室内的湿度采</w:t>
      </w:r>
      <w:r>
        <w:rPr>
          <w:rFonts w:hint="default" w:ascii="仿宋" w:hAnsi="仿宋" w:eastAsia="仿宋" w:cs="仿宋"/>
          <w:sz w:val="28"/>
          <w:szCs w:val="28"/>
          <w:lang w:val="en-US" w:eastAsia="zh-CN"/>
        </w:rPr>
        <w:t>暖期一般保证在30%以上，制冷</w:t>
      </w:r>
      <w:bookmarkStart w:id="8" w:name="_GoBack"/>
      <w:bookmarkEnd w:id="8"/>
      <w:r>
        <w:rPr>
          <w:rFonts w:hint="default" w:ascii="仿宋" w:hAnsi="仿宋" w:eastAsia="仿宋" w:cs="仿宋"/>
          <w:sz w:val="28"/>
          <w:szCs w:val="28"/>
          <w:lang w:val="en-US" w:eastAsia="zh-CN"/>
        </w:rPr>
        <w:t>期应控制在70%以下</w:t>
      </w:r>
      <w:r>
        <w:rPr>
          <w:rFonts w:hint="eastAsia" w:ascii="仿宋" w:hAnsi="仿宋" w:eastAsia="仿宋" w:cs="仿宋"/>
          <w:sz w:val="28"/>
          <w:szCs w:val="28"/>
          <w:lang w:val="en-US" w:eastAsia="zh-CN"/>
        </w:rPr>
        <w:t>。室内风速</w:t>
      </w:r>
      <w:r>
        <w:rPr>
          <w:rFonts w:hint="default" w:ascii="仿宋" w:hAnsi="仿宋" w:eastAsia="仿宋" w:cs="仿宋"/>
          <w:sz w:val="28"/>
          <w:szCs w:val="28"/>
          <w:lang w:val="en-US" w:eastAsia="zh-CN"/>
        </w:rPr>
        <w:t>采暖期在0.2m/s以下，制冷期在0.3m/s以下</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（2）合理控制室内的新风量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本项目采用自然通风的形式补充房间的新风量。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（3）合理控制室内污染物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室内污染物的控制主要从以下几个方面进行：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一是整栋建筑严格禁烟；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二是采用“绿色”装饰材料、家具和设备，在保</w:t>
      </w:r>
      <w:r>
        <w:rPr>
          <w:rFonts w:hint="default" w:ascii="仿宋" w:hAnsi="仿宋" w:eastAsia="仿宋" w:cs="仿宋"/>
          <w:sz w:val="28"/>
          <w:szCs w:val="28"/>
          <w:lang w:val="en-US" w:eastAsia="zh-CN"/>
        </w:rPr>
        <w:t>证建筑安全</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环保的基础上，尽可能多地利用废弃物，节约建材成本，以达到资源利最大化</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三是定期清洁系统设备。</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default" w:ascii="黑体" w:hAnsi="黑体" w:eastAsia="黑体" w:cs="黑体"/>
          <w:b/>
          <w:sz w:val="28"/>
          <w:szCs w:val="22"/>
          <w:lang w:val="en-US" w:eastAsia="zh-CN"/>
        </w:rPr>
      </w:pPr>
      <w:bookmarkStart w:id="6" w:name="_Toc9210"/>
      <w:r>
        <w:rPr>
          <w:rFonts w:hint="eastAsia" w:ascii="黑体" w:hAnsi="黑体" w:cs="黑体"/>
          <w:b/>
          <w:sz w:val="28"/>
          <w:szCs w:val="22"/>
          <w:lang w:val="en-US" w:eastAsia="zh-CN"/>
        </w:rPr>
        <w:t xml:space="preserve">3. </w:t>
      </w:r>
      <w:r>
        <w:rPr>
          <w:rFonts w:hint="eastAsia" w:ascii="黑体" w:hAnsi="黑体" w:eastAsia="黑体" w:cs="黑体"/>
          <w:b/>
          <w:sz w:val="28"/>
          <w:szCs w:val="22"/>
          <w:lang w:val="en-US" w:eastAsia="zh-CN"/>
        </w:rPr>
        <w:t>建筑门窗管理</w:t>
      </w:r>
      <w:bookmarkEnd w:id="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（1）合理利用门窗控制室内得热量、采光等问题。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夏季合理进行建筑内遮阳，减少室内得热量，要求遮阳构件向可调性增强，便于操作、智能化控制发展。冬季则取消外遮阳，增加房间的太阳辐射得热量。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利用门窗有组织的控制自然通风。</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黑体" w:hAnsi="黑体" w:eastAsia="黑体" w:cs="黑体"/>
          <w:b/>
          <w:sz w:val="28"/>
          <w:szCs w:val="22"/>
          <w:lang w:val="en-US" w:eastAsia="zh-CN"/>
        </w:rPr>
      </w:pPr>
      <w:bookmarkStart w:id="7" w:name="_Toc5594"/>
      <w:r>
        <w:rPr>
          <w:rFonts w:hint="eastAsia" w:ascii="黑体" w:hAnsi="黑体" w:cs="黑体"/>
          <w:b/>
          <w:sz w:val="28"/>
          <w:szCs w:val="22"/>
          <w:lang w:val="en-US" w:eastAsia="zh-CN"/>
        </w:rPr>
        <w:t xml:space="preserve">4. </w:t>
      </w:r>
      <w:r>
        <w:rPr>
          <w:rFonts w:hint="eastAsia" w:ascii="黑体" w:hAnsi="黑体" w:eastAsia="黑体" w:cs="黑体"/>
          <w:b/>
          <w:sz w:val="28"/>
          <w:szCs w:val="22"/>
          <w:lang w:val="en-US" w:eastAsia="zh-CN"/>
        </w:rPr>
        <w:t>建筑设备运维管理</w:t>
      </w:r>
      <w:bookmarkEnd w:id="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筑设备运维管理模式采用全生命周期运维管理，即对建筑设备的全生命周期信息进行动态管理。通过对建筑设备进行有效的管理，能够提升建筑设备的运行效率，延长使用寿命，实现效益最大化，确保建筑设备的安全、经济及可靠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利用BIM技术建立建筑设备运维管理系统，可以将建筑项目的所有建筑设备资料和管理集中在一个运维管理平台，方便资料的调取，实现信息的共享，提高建筑设备管理效率。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科学技术的快速发展背景下，变频技术逐渐趋于成熟，应用的范围也越来越广，特别是在供暖系统热水循环水泵中发挥了非常重要的作用。采用变频水泵技术结合气候补偿装置，调控水泵的运行达到节能的目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B8A4"/>
    <w:multiLevelType w:val="singleLevel"/>
    <w:tmpl w:val="7693B8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zNhMjI0YWU4MGU1YThkODFmYWMyMGIzNTYxNzQifQ=="/>
  </w:docVars>
  <w:rsids>
    <w:rsidRoot w:val="395D1D2F"/>
    <w:rsid w:val="395D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2023-03-05T06:14:00Z</dcterms:created>
  <dc:creator>远离地球</dc:creator>
  <cp:lastModifiedBy>远离地球</cp:lastModifiedBy>
  <dcterms:modified xsi:type="dcterms:W3CDTF">2023-03-05T06:20:52Z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EAB311C090F149C18678B6237462C4F6</vt:lpwstr>
  </property>
</Properties>
</file>