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本项目实施前对商场涉及门窗进行检查，对不符合要求门窗采取维修及更换，使得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建筑外门窗安装牢靠，其抗风压性能和水密性能应符合国家现行有关标准的规定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.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336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建筑门窗（幕墙）图纸、门窗抗风压性能、水密性能设计文件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  <w:lang w:eastAsia="zh-CN"/>
              </w:rPr>
              <w:t>；外门窗施工工法说明文件；室外风环境模拟分析报告夏季</w:t>
            </w:r>
            <w:bookmarkStart w:id="0" w:name="_GoBack"/>
            <w:bookmarkEnd w:id="0"/>
          </w:p>
          <w:p>
            <w:pPr>
              <w:ind w:firstLine="400" w:firstLineChars="200"/>
              <w:rPr>
                <w:rFonts w:hint="eastAsia" w:ascii="Times New Roman" w:hAnsi="Times New Roman" w:eastAsia="微软雅黑" w:cs="Times New Roman"/>
                <w:kern w:val="0"/>
                <w:sz w:val="20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60a5916f-205e-4ed5-bc80-05942f5ed128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455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1</Lines>
  <Paragraphs>1</Paragraphs>
  <TotalTime>6</TotalTime>
  <ScaleCrop>false</ScaleCrop>
  <LinksUpToDate>false</LinksUpToDate>
  <CharactersWithSpaces>183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 </cp:lastModifiedBy>
  <dcterms:modified xsi:type="dcterms:W3CDTF">2023-02-25T05:55:21Z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C8D8D5FBC3B540ED9DFB22BDFF90DC35</vt:lpwstr>
  </property>
</Properties>
</file>