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地下室采光分析报告书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工程名称</w:t>
            </w:r>
          </w:p>
        </w:tc>
        <w:tc>
          <w:tcPr>
            <w:tcW w:w="3780" w:type="dxa"/>
            <w:noWrap w:val="0"/>
            <w:vAlign w:val="top"/>
          </w:tcPr>
          <w:p>
            <w:pPr>
              <w:jc w:val="both"/>
              <w:rPr>
                <w:rFonts w:ascii="宋体" w:hAnsi="宋体"/>
                <w:szCs w:val="21"/>
              </w:rPr>
            </w:pPr>
            <w:r>
              <w:rPr>
                <w:rFonts w:hint="eastAsia" w:ascii="宋体" w:hAnsi="宋体"/>
                <w:szCs w:val="21"/>
              </w:rPr>
              <w:t>重庆石马河街道TOD方案设计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工程地点</w:t>
            </w:r>
          </w:p>
        </w:tc>
        <w:tc>
          <w:tcPr>
            <w:tcW w:w="3780" w:type="dxa"/>
            <w:noWrap w:val="0"/>
            <w:vAlign w:val="top"/>
          </w:tcPr>
          <w:p>
            <w:pPr>
              <w:jc w:val="both"/>
              <w:rPr>
                <w:rFonts w:ascii="宋体" w:hAnsi="宋体"/>
                <w:szCs w:val="21"/>
              </w:rPr>
            </w:pPr>
            <w:bookmarkStart w:id="0" w:name="地理位置"/>
            <w:r>
              <w:t>重庆-重庆</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设计编号</w:t>
            </w:r>
          </w:p>
        </w:tc>
        <w:tc>
          <w:tcPr>
            <w:tcW w:w="3780" w:type="dxa"/>
            <w:noWrap w:val="0"/>
            <w:vAlign w:val="top"/>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建设单位</w:t>
            </w:r>
          </w:p>
        </w:tc>
        <w:tc>
          <w:tcPr>
            <w:tcW w:w="3780" w:type="dxa"/>
            <w:noWrap w:val="0"/>
            <w:vAlign w:val="top"/>
          </w:tcPr>
          <w:p>
            <w:pPr>
              <w:rPr>
                <w:rFonts w:ascii="宋体" w:hAnsi="宋体"/>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设计单位</w:t>
            </w:r>
          </w:p>
        </w:tc>
        <w:tc>
          <w:tcPr>
            <w:tcW w:w="3780" w:type="dxa"/>
            <w:noWrap w:val="0"/>
            <w:vAlign w:val="top"/>
          </w:tcPr>
          <w:p>
            <w:pPr>
              <w:rPr>
                <w:rFonts w:ascii="宋体" w:hAnsi="宋体"/>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 计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校 对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审 核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noWrap w:val="0"/>
            <w:vAlign w:val="top"/>
          </w:tcPr>
          <w:p>
            <w:pPr>
              <w:jc w:val="both"/>
              <w:rPr>
                <w:rFonts w:ascii="宋体" w:hAnsi="宋体"/>
                <w:szCs w:val="21"/>
              </w:rPr>
            </w:pPr>
            <w:r>
              <w:rPr>
                <w:rFonts w:hint="eastAsia" w:ascii="宋体" w:hAnsi="宋体"/>
                <w:szCs w:val="21"/>
              </w:rPr>
              <w:t>设计日期</w:t>
            </w:r>
          </w:p>
        </w:tc>
        <w:tc>
          <w:tcPr>
            <w:tcW w:w="3780" w:type="dxa"/>
            <w:noWrap w:val="0"/>
            <w:vAlign w:val="top"/>
          </w:tcPr>
          <w:p>
            <w:pPr>
              <w:rPr>
                <w:rFonts w:ascii="宋体" w:hAnsi="宋体"/>
                <w:szCs w:val="21"/>
              </w:rPr>
            </w:pPr>
            <w:bookmarkStart w:id="4" w:name="报告日期"/>
            <w:r>
              <w:rPr>
                <w:rFonts w:hint="eastAsia" w:ascii="宋体" w:hAnsi="宋体"/>
                <w:szCs w:val="21"/>
              </w:rPr>
              <w:t>202</w:t>
            </w:r>
            <w:r>
              <w:rPr>
                <w:rFonts w:ascii="宋体" w:hAnsi="宋体"/>
                <w:szCs w:val="21"/>
              </w:rPr>
              <w:t>2</w:t>
            </w:r>
            <w:r>
              <w:rPr>
                <w:rFonts w:hint="eastAsia" w:ascii="宋体" w:hAnsi="宋体"/>
                <w:szCs w:val="21"/>
              </w:rPr>
              <w:t>年</w:t>
            </w:r>
            <w:r>
              <w:rPr>
                <w:rFonts w:ascii="宋体" w:hAnsi="宋体"/>
                <w:szCs w:val="21"/>
              </w:rPr>
              <w:t>12</w:t>
            </w:r>
            <w:r>
              <w:rPr>
                <w:rFonts w:hint="eastAsia" w:ascii="宋体" w:hAnsi="宋体"/>
                <w:szCs w:val="21"/>
              </w:rPr>
              <w:t>月</w:t>
            </w:r>
            <w:r>
              <w:rPr>
                <w:rFonts w:ascii="宋体" w:hAnsi="宋体"/>
                <w:szCs w:val="21"/>
              </w:rPr>
              <w:t>07</w:t>
            </w:r>
            <w:r>
              <w:rPr>
                <w:rFonts w:hint="eastAsia" w:ascii="宋体" w:hAnsi="宋体"/>
                <w:szCs w:val="21"/>
              </w:rPr>
              <w:t>日</w:t>
            </w:r>
            <w:bookmarkEnd w:id="4"/>
          </w:p>
        </w:tc>
      </w:tr>
    </w:tbl>
    <w:p>
      <w:pPr>
        <w:spacing w:line="180" w:lineRule="atLeast"/>
        <w:rPr>
          <w:rFonts w:ascii="宋体" w:hAnsi="宋体"/>
          <w:b/>
          <w:bCs/>
          <w:szCs w:val="21"/>
          <w:lang w:val="en-US"/>
        </w:rPr>
      </w:pPr>
      <w:bookmarkStart w:id="63" w:name="_GoBack"/>
      <w:bookmarkEnd w:id="63"/>
    </w:p>
    <w:p>
      <w:pPr>
        <w:spacing w:line="180" w:lineRule="atLeast"/>
        <w:rPr>
          <w:rFonts w:ascii="宋体" w:hAnsi="宋体"/>
          <w:b/>
          <w:bCs/>
          <w:szCs w:val="21"/>
          <w:lang w:val="en-US"/>
        </w:rPr>
      </w:pPr>
    </w:p>
    <w:p>
      <w:pPr>
        <w:spacing w:line="180" w:lineRule="atLeast"/>
        <w:rPr>
          <w:rFonts w:ascii="宋体" w:hAnsi="宋体"/>
          <w:b/>
          <w:bCs/>
          <w:sz w:val="20"/>
          <w:szCs w:val="21"/>
          <w:lang w:val="en-US"/>
        </w:rPr>
      </w:pPr>
    </w:p>
    <w:p>
      <w:pPr>
        <w:pStyle w:val="33"/>
        <w:rPr>
          <w:b/>
        </w:rPr>
      </w:pPr>
    </w:p>
    <w:p>
      <w:pPr>
        <w:rPr>
          <w:rFonts w:ascii="黑体" w:hAnsi="黑体" w:eastAsia="黑体"/>
          <w:b/>
          <w:bCs/>
          <w:sz w:val="30"/>
          <w:szCs w:val="32"/>
        </w:rPr>
      </w:pPr>
      <w:bookmarkStart w:id="5" w:name="二维码"/>
      <w:bookmarkEnd w:id="5"/>
      <w:r>
        <w:rPr>
          <w:lang w:val="en-US"/>
        </w:rPr>
        <w:drawing>
          <wp:inline distT="0" distB="0" distL="0" distR="0">
            <wp:extent cx="2171700" cy="21717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rFonts w:ascii="黑体" w:hAnsi="黑体" w:eastAsia="黑体"/>
          <w:b/>
          <w:bCs/>
          <w:sz w:val="30"/>
          <w:szCs w:val="32"/>
        </w:rPr>
      </w:pPr>
    </w:p>
    <w:p>
      <w:pPr>
        <w:rPr>
          <w:rFonts w:ascii="黑体" w:hAnsi="黑体" w:eastAsia="黑体"/>
          <w:b/>
          <w:bCs/>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采用软件</w:t>
            </w:r>
          </w:p>
        </w:tc>
        <w:tc>
          <w:tcPr>
            <w:tcW w:w="3780" w:type="dxa"/>
            <w:vAlign w:val="center"/>
          </w:tcPr>
          <w:p>
            <w:pPr>
              <w:pStyle w:val="33"/>
              <w:jc w:val="center"/>
              <w:rPr>
                <w:szCs w:val="18"/>
              </w:rPr>
            </w:pPr>
            <w:r>
              <w:rPr>
                <w:rFonts w:hint="eastAsia"/>
                <w:szCs w:val="18"/>
              </w:rPr>
              <w:t>绿建斯维尔采光分析D</w:t>
            </w:r>
            <w:r>
              <w:rPr>
                <w:szCs w:val="18"/>
              </w:rPr>
              <w:t>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软件版本</w:t>
            </w:r>
          </w:p>
        </w:tc>
        <w:tc>
          <w:tcPr>
            <w:tcW w:w="3780" w:type="dxa"/>
            <w:vAlign w:val="center"/>
          </w:tcPr>
          <w:p>
            <w:pPr>
              <w:pStyle w:val="33"/>
              <w:jc w:val="center"/>
              <w:rPr>
                <w:szCs w:val="18"/>
              </w:rPr>
            </w:pPr>
            <w:bookmarkStart w:id="6" w:name="软件版本"/>
            <w:r>
              <w:rPr>
                <w:szCs w:val="18"/>
              </w:rPr>
              <w:t>20200808(SP1)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研发单位</w:t>
            </w:r>
          </w:p>
        </w:tc>
        <w:tc>
          <w:tcPr>
            <w:tcW w:w="3780" w:type="dxa"/>
            <w:vAlign w:val="center"/>
          </w:tcPr>
          <w:p>
            <w:pPr>
              <w:pStyle w:val="3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sz w:val="21"/>
              </w:rPr>
            </w:pPr>
            <w:r>
              <w:rPr>
                <w:rFonts w:hint="eastAsia"/>
                <w:sz w:val="21"/>
              </w:rPr>
              <w:t>正版授权码</w:t>
            </w:r>
          </w:p>
        </w:tc>
        <w:tc>
          <w:tcPr>
            <w:tcW w:w="3780" w:type="dxa"/>
            <w:vAlign w:val="center"/>
          </w:tcPr>
          <w:p>
            <w:pPr>
              <w:pStyle w:val="33"/>
              <w:jc w:val="center"/>
              <w:rPr>
                <w:szCs w:val="18"/>
              </w:rPr>
            </w:pPr>
            <w:bookmarkStart w:id="7" w:name="正版授权码"/>
            <w:r>
              <w:t>N99EFEE993A7B4587</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sz w:val="21"/>
              </w:rPr>
            </w:pPr>
            <w:r>
              <w:rPr>
                <w:rFonts w:hint="eastAsia"/>
                <w:sz w:val="21"/>
              </w:rPr>
              <w:t>服务热线</w:t>
            </w:r>
          </w:p>
        </w:tc>
        <w:tc>
          <w:tcPr>
            <w:tcW w:w="3780" w:type="dxa"/>
            <w:vAlign w:val="center"/>
          </w:tcPr>
          <w:p>
            <w:pPr>
              <w:pStyle w:val="33"/>
              <w:jc w:val="center"/>
              <w:rPr>
                <w:szCs w:val="18"/>
              </w:rPr>
            </w:pPr>
            <w:r>
              <w:rPr>
                <w:rFonts w:hint="eastAsia"/>
                <w:color w:val="000000"/>
                <w:shd w:val="clear" w:color="auto" w:fill="FFFFFF"/>
              </w:rPr>
              <w:t>400-094-1228</w:t>
            </w:r>
          </w:p>
        </w:tc>
      </w:tr>
    </w:tbl>
    <w:p>
      <w:pPr>
        <w:rPr>
          <w:rFonts w:ascii="黑体" w:hAnsi="黑体" w:eastAsia="黑体"/>
          <w:b/>
          <w:bCs/>
          <w:sz w:val="30"/>
          <w:szCs w:val="32"/>
        </w:rPr>
      </w:pPr>
    </w:p>
    <w:p>
      <w:pPr>
        <w:rPr>
          <w:rFonts w:ascii="黑体" w:hAnsi="黑体" w:eastAsia="黑体"/>
          <w:b/>
          <w:bCs/>
          <w:sz w:val="30"/>
          <w:szCs w:val="32"/>
        </w:rPr>
      </w:pPr>
    </w:p>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8" w:name="目录"/>
      <w:r>
        <w:rPr>
          <w:rFonts w:hint="eastAsia"/>
          <w:sz w:val="28"/>
          <w:szCs w:val="28"/>
        </w:rPr>
        <w:t>目  录</w:t>
      </w:r>
    </w:p>
    <w:p>
      <w:pPr>
        <w:pStyle w:val="17"/>
        <w:rPr>
          <w:rFonts w:asciiTheme="minorHAnsi" w:hAnsiTheme="minorHAnsi" w:eastAsiaTheme="minorEastAsia"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"_Toc61613452" </w:instrText>
      </w:r>
      <w:r>
        <w:fldChar w:fldCharType="separate"/>
      </w:r>
      <w:r>
        <w:rPr>
          <w:rStyle w:val="24"/>
        </w:rPr>
        <w:t>1.</w:t>
      </w:r>
      <w:r>
        <w:rPr>
          <w:rFonts w:asciiTheme="minorHAnsi" w:hAnsiTheme="minorHAnsi" w:eastAsiaTheme="minorEastAsia" w:cstheme="minorBidi"/>
          <w:b w:val="0"/>
          <w:bCs w:val="0"/>
          <w:sz w:val="21"/>
          <w:szCs w:val="22"/>
        </w:rPr>
        <w:tab/>
      </w:r>
      <w:r>
        <w:rPr>
          <w:rStyle w:val="24"/>
        </w:rPr>
        <w:t>建筑概况</w:t>
      </w:r>
      <w:r>
        <w:tab/>
      </w:r>
      <w:r>
        <w:fldChar w:fldCharType="begin"/>
      </w:r>
      <w:r>
        <w:instrText xml:space="preserve"> PAGEREF _Toc61613452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"_Toc61613453" </w:instrText>
      </w:r>
      <w:r>
        <w:fldChar w:fldCharType="separate"/>
      </w:r>
      <w:r>
        <w:rPr>
          <w:rStyle w:val="24"/>
        </w:rPr>
        <w:t>2.</w:t>
      </w:r>
      <w:r>
        <w:rPr>
          <w:rFonts w:asciiTheme="minorHAnsi" w:hAnsiTheme="minorHAnsi" w:eastAsiaTheme="minorEastAsia" w:cstheme="minorBidi"/>
          <w:b w:val="0"/>
          <w:bCs w:val="0"/>
          <w:sz w:val="21"/>
          <w:szCs w:val="22"/>
        </w:rPr>
        <w:tab/>
      </w:r>
      <w:r>
        <w:rPr>
          <w:rStyle w:val="24"/>
        </w:rPr>
        <w:t>分析目的</w:t>
      </w:r>
      <w:r>
        <w:tab/>
      </w:r>
      <w:r>
        <w:fldChar w:fldCharType="begin"/>
      </w:r>
      <w:r>
        <w:instrText xml:space="preserve"> PAGEREF _Toc61613453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"_Toc61613454" </w:instrText>
      </w:r>
      <w:r>
        <w:fldChar w:fldCharType="separate"/>
      </w:r>
      <w:r>
        <w:rPr>
          <w:rStyle w:val="24"/>
        </w:rPr>
        <w:t>3.</w:t>
      </w:r>
      <w:r>
        <w:rPr>
          <w:rFonts w:asciiTheme="minorHAnsi" w:hAnsiTheme="minorHAnsi" w:eastAsiaTheme="minorEastAsia" w:cstheme="minorBidi"/>
          <w:b w:val="0"/>
          <w:bCs w:val="0"/>
          <w:sz w:val="21"/>
          <w:szCs w:val="22"/>
        </w:rPr>
        <w:tab/>
      </w:r>
      <w:r>
        <w:rPr>
          <w:rStyle w:val="24"/>
        </w:rPr>
        <w:t>分析依据</w:t>
      </w:r>
      <w:r>
        <w:tab/>
      </w:r>
      <w:r>
        <w:fldChar w:fldCharType="begin"/>
      </w:r>
      <w:r>
        <w:instrText xml:space="preserve"> PAGEREF _Toc61613454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"_Toc61613455" </w:instrText>
      </w:r>
      <w:r>
        <w:fldChar w:fldCharType="separate"/>
      </w:r>
      <w:r>
        <w:rPr>
          <w:rStyle w:val="24"/>
          <w:lang w:val="en-GB"/>
        </w:rPr>
        <w:t>3.1</w:t>
      </w:r>
      <w:r>
        <w:rPr>
          <w:rFonts w:asciiTheme="minorHAnsi" w:hAnsiTheme="minorHAnsi" w:eastAsiaTheme="minorEastAsia" w:cstheme="minorBidi"/>
          <w:sz w:val="21"/>
          <w:szCs w:val="22"/>
        </w:rPr>
        <w:tab/>
      </w:r>
      <w:r>
        <w:rPr>
          <w:rStyle w:val="24"/>
        </w:rPr>
        <w:t>评价依据</w:t>
      </w:r>
      <w:r>
        <w:tab/>
      </w:r>
      <w:r>
        <w:fldChar w:fldCharType="begin"/>
      </w:r>
      <w:r>
        <w:instrText xml:space="preserve"> PAGEREF _Toc61613455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"_Toc61613456" </w:instrText>
      </w:r>
      <w:r>
        <w:fldChar w:fldCharType="separate"/>
      </w:r>
      <w:r>
        <w:rPr>
          <w:rStyle w:val="24"/>
          <w:lang w:val="en-GB"/>
        </w:rPr>
        <w:t>3.2</w:t>
      </w:r>
      <w:r>
        <w:rPr>
          <w:rFonts w:asciiTheme="minorHAnsi" w:hAnsiTheme="minorHAnsi" w:eastAsiaTheme="minorEastAsia" w:cstheme="minorBidi"/>
          <w:sz w:val="21"/>
          <w:szCs w:val="22"/>
        </w:rPr>
        <w:tab/>
      </w:r>
      <w:r>
        <w:rPr>
          <w:rStyle w:val="24"/>
        </w:rPr>
        <w:t>标准要求</w:t>
      </w:r>
      <w:r>
        <w:tab/>
      </w:r>
      <w:r>
        <w:fldChar w:fldCharType="begin"/>
      </w:r>
      <w:r>
        <w:instrText xml:space="preserve"> PAGEREF _Toc61613456 \h </w:instrText>
      </w:r>
      <w:r>
        <w:fldChar w:fldCharType="separate"/>
      </w:r>
      <w:r>
        <w:t>4</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"_Toc61613457" </w:instrText>
      </w:r>
      <w:r>
        <w:fldChar w:fldCharType="separate"/>
      </w:r>
      <w:r>
        <w:rPr>
          <w:rStyle w:val="24"/>
        </w:rPr>
        <w:t>4.</w:t>
      </w:r>
      <w:r>
        <w:rPr>
          <w:rFonts w:asciiTheme="minorHAnsi" w:hAnsiTheme="minorHAnsi" w:eastAsiaTheme="minorEastAsia" w:cstheme="minorBidi"/>
          <w:b w:val="0"/>
          <w:bCs w:val="0"/>
          <w:sz w:val="21"/>
          <w:szCs w:val="22"/>
        </w:rPr>
        <w:tab/>
      </w:r>
      <w:r>
        <w:rPr>
          <w:rStyle w:val="24"/>
        </w:rPr>
        <w:t>应用软件与计算方法</w:t>
      </w:r>
      <w:r>
        <w:tab/>
      </w:r>
      <w:r>
        <w:fldChar w:fldCharType="begin"/>
      </w:r>
      <w:r>
        <w:instrText xml:space="preserve"> PAGEREF _Toc61613457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"_Toc61613458" </w:instrText>
      </w:r>
      <w:r>
        <w:fldChar w:fldCharType="separate"/>
      </w:r>
      <w:r>
        <w:rPr>
          <w:rStyle w:val="24"/>
          <w:lang w:val="en-GB"/>
        </w:rPr>
        <w:t>4.1</w:t>
      </w:r>
      <w:r>
        <w:rPr>
          <w:rFonts w:asciiTheme="minorHAnsi" w:hAnsiTheme="minorHAnsi" w:eastAsiaTheme="minorEastAsia" w:cstheme="minorBidi"/>
          <w:sz w:val="21"/>
          <w:szCs w:val="22"/>
        </w:rPr>
        <w:tab/>
      </w:r>
      <w:r>
        <w:rPr>
          <w:rStyle w:val="24"/>
        </w:rPr>
        <w:t>软件选用</w:t>
      </w:r>
      <w:r>
        <w:tab/>
      </w:r>
      <w:r>
        <w:fldChar w:fldCharType="begin"/>
      </w:r>
      <w:r>
        <w:instrText xml:space="preserve"> PAGEREF _Toc61613458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"_Toc61613459" </w:instrText>
      </w:r>
      <w:r>
        <w:fldChar w:fldCharType="separate"/>
      </w:r>
      <w:r>
        <w:rPr>
          <w:rStyle w:val="24"/>
          <w:lang w:val="en-GB"/>
        </w:rPr>
        <w:t>4.2</w:t>
      </w:r>
      <w:r>
        <w:rPr>
          <w:rFonts w:asciiTheme="minorHAnsi" w:hAnsiTheme="minorHAnsi" w:eastAsiaTheme="minorEastAsia" w:cstheme="minorBidi"/>
          <w:sz w:val="21"/>
          <w:szCs w:val="22"/>
        </w:rPr>
        <w:tab/>
      </w:r>
      <w:r>
        <w:rPr>
          <w:rStyle w:val="24"/>
        </w:rPr>
        <w:t>计算原理</w:t>
      </w:r>
      <w:r>
        <w:tab/>
      </w:r>
      <w:r>
        <w:fldChar w:fldCharType="begin"/>
      </w:r>
      <w:r>
        <w:instrText xml:space="preserve"> PAGEREF _Toc61613459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"_Toc61613460" </w:instrText>
      </w:r>
      <w:r>
        <w:fldChar w:fldCharType="separate"/>
      </w:r>
      <w:r>
        <w:rPr>
          <w:rStyle w:val="24"/>
          <w:lang w:val="en-GB"/>
        </w:rPr>
        <w:t>4.3</w:t>
      </w:r>
      <w:r>
        <w:rPr>
          <w:rFonts w:asciiTheme="minorHAnsi" w:hAnsiTheme="minorHAnsi" w:eastAsiaTheme="minorEastAsia" w:cstheme="minorBidi"/>
          <w:sz w:val="21"/>
          <w:szCs w:val="22"/>
        </w:rPr>
        <w:tab/>
      </w:r>
      <w:r>
        <w:rPr>
          <w:rStyle w:val="24"/>
        </w:rPr>
        <w:t>计算方法</w:t>
      </w:r>
      <w:r>
        <w:tab/>
      </w:r>
      <w:r>
        <w:fldChar w:fldCharType="begin"/>
      </w:r>
      <w:r>
        <w:instrText xml:space="preserve"> PAGEREF _Toc61613460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"_Toc61613461" </w:instrText>
      </w:r>
      <w:r>
        <w:fldChar w:fldCharType="separate"/>
      </w:r>
      <w:r>
        <w:rPr>
          <w:rStyle w:val="24"/>
        </w:rPr>
        <w:t>5.</w:t>
      </w:r>
      <w:r>
        <w:rPr>
          <w:rFonts w:asciiTheme="minorHAnsi" w:hAnsiTheme="minorHAnsi" w:eastAsiaTheme="minorEastAsia" w:cstheme="minorBidi"/>
          <w:b w:val="0"/>
          <w:bCs w:val="0"/>
          <w:sz w:val="21"/>
          <w:szCs w:val="22"/>
        </w:rPr>
        <w:tab/>
      </w:r>
      <w:r>
        <w:rPr>
          <w:rStyle w:val="24"/>
        </w:rPr>
        <w:t>计算参数选用</w:t>
      </w:r>
      <w:r>
        <w:tab/>
      </w:r>
      <w:r>
        <w:fldChar w:fldCharType="begin"/>
      </w:r>
      <w:r>
        <w:instrText xml:space="preserve"> PAGEREF _Toc61613461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"_Toc61613462" </w:instrText>
      </w:r>
      <w:r>
        <w:fldChar w:fldCharType="separate"/>
      </w:r>
      <w:r>
        <w:rPr>
          <w:rStyle w:val="24"/>
          <w:lang w:val="en-GB"/>
        </w:rPr>
        <w:t>5.1</w:t>
      </w:r>
      <w:r>
        <w:rPr>
          <w:rFonts w:asciiTheme="minorHAnsi" w:hAnsiTheme="minorHAnsi" w:eastAsiaTheme="minorEastAsia" w:cstheme="minorBidi"/>
          <w:sz w:val="21"/>
          <w:szCs w:val="22"/>
        </w:rPr>
        <w:tab/>
      </w:r>
      <w:r>
        <w:rPr>
          <w:rStyle w:val="24"/>
        </w:rPr>
        <w:t>模拟条件</w:t>
      </w:r>
      <w:r>
        <w:tab/>
      </w:r>
      <w:r>
        <w:fldChar w:fldCharType="begin"/>
      </w:r>
      <w:r>
        <w:instrText xml:space="preserve"> PAGEREF _Toc61613462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"_Toc61613463" </w:instrText>
      </w:r>
      <w:r>
        <w:fldChar w:fldCharType="separate"/>
      </w:r>
      <w:r>
        <w:rPr>
          <w:rStyle w:val="24"/>
          <w:lang w:val="en-GB"/>
        </w:rPr>
        <w:t>5.2</w:t>
      </w:r>
      <w:r>
        <w:rPr>
          <w:rFonts w:asciiTheme="minorHAnsi" w:hAnsiTheme="minorHAnsi" w:eastAsiaTheme="minorEastAsia" w:cstheme="minorBidi"/>
          <w:sz w:val="21"/>
          <w:szCs w:val="22"/>
        </w:rPr>
        <w:tab/>
      </w:r>
      <w:r>
        <w:rPr>
          <w:rStyle w:val="24"/>
        </w:rPr>
        <w:t>建筑饰面材料参数</w:t>
      </w:r>
      <w:r>
        <w:tab/>
      </w:r>
      <w:r>
        <w:fldChar w:fldCharType="begin"/>
      </w:r>
      <w:r>
        <w:instrText xml:space="preserve"> PAGEREF _Toc61613463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"_Toc61613464" </w:instrText>
      </w:r>
      <w:r>
        <w:fldChar w:fldCharType="separate"/>
      </w:r>
      <w:r>
        <w:rPr>
          <w:rStyle w:val="24"/>
          <w:lang w:val="en-GB"/>
        </w:rPr>
        <w:t>5.3</w:t>
      </w:r>
      <w:r>
        <w:rPr>
          <w:rFonts w:asciiTheme="minorHAnsi" w:hAnsiTheme="minorHAnsi" w:eastAsiaTheme="minorEastAsia" w:cstheme="minorBidi"/>
          <w:sz w:val="21"/>
          <w:szCs w:val="22"/>
        </w:rPr>
        <w:tab/>
      </w:r>
      <w:r>
        <w:rPr>
          <w:rStyle w:val="24"/>
        </w:rPr>
        <w:t>门窗类型参数</w:t>
      </w:r>
      <w:r>
        <w:tab/>
      </w:r>
      <w:r>
        <w:fldChar w:fldCharType="begin"/>
      </w:r>
      <w:r>
        <w:instrText xml:space="preserve"> PAGEREF _Toc61613464 \h </w:instrText>
      </w:r>
      <w:r>
        <w:fldChar w:fldCharType="separate"/>
      </w:r>
      <w:r>
        <w:t>6</w:t>
      </w:r>
      <w:r>
        <w:fldChar w:fldCharType="end"/>
      </w:r>
      <w:r>
        <w:fldChar w:fldCharType="end"/>
      </w:r>
    </w:p>
    <w:p>
      <w:pPr>
        <w:pStyle w:val="14"/>
        <w:rPr>
          <w:rFonts w:asciiTheme="minorHAnsi" w:hAnsiTheme="minorHAnsi" w:eastAsiaTheme="minorEastAsia" w:cstheme="minorBidi"/>
          <w:sz w:val="21"/>
          <w:szCs w:val="22"/>
        </w:rPr>
      </w:pPr>
      <w:r>
        <w:fldChar w:fldCharType="begin"/>
      </w:r>
      <w:r>
        <w:instrText xml:space="preserve"> HYPERLINK \l "_Toc61613465" </w:instrText>
      </w:r>
      <w:r>
        <w:fldChar w:fldCharType="separate"/>
      </w:r>
      <w:r>
        <w:rPr>
          <w:rStyle w:val="24"/>
          <w:lang w:val="en-GB"/>
        </w:rPr>
        <w:t>5.3.1</w:t>
      </w:r>
      <w:r>
        <w:rPr>
          <w:rFonts w:asciiTheme="minorHAnsi" w:hAnsiTheme="minorHAnsi" w:eastAsiaTheme="minorEastAsia" w:cstheme="minorBidi"/>
          <w:sz w:val="21"/>
          <w:szCs w:val="22"/>
        </w:rPr>
        <w:tab/>
      </w:r>
      <w:r>
        <w:rPr>
          <w:rStyle w:val="24"/>
        </w:rPr>
        <w:t>透光门</w:t>
      </w:r>
      <w:r>
        <w:tab/>
      </w:r>
      <w:r>
        <w:fldChar w:fldCharType="begin"/>
      </w:r>
      <w:r>
        <w:instrText xml:space="preserve"> PAGEREF _Toc61613465 \h </w:instrText>
      </w:r>
      <w:r>
        <w:fldChar w:fldCharType="separate"/>
      </w:r>
      <w:r>
        <w:t>6</w:t>
      </w:r>
      <w:r>
        <w:fldChar w:fldCharType="end"/>
      </w:r>
      <w:r>
        <w:fldChar w:fldCharType="end"/>
      </w:r>
    </w:p>
    <w:p>
      <w:pPr>
        <w:pStyle w:val="14"/>
        <w:rPr>
          <w:rFonts w:asciiTheme="minorHAnsi" w:hAnsiTheme="minorHAnsi" w:eastAsiaTheme="minorEastAsia" w:cstheme="minorBidi"/>
          <w:sz w:val="21"/>
          <w:szCs w:val="22"/>
        </w:rPr>
      </w:pPr>
      <w:r>
        <w:fldChar w:fldCharType="begin"/>
      </w:r>
      <w:r>
        <w:instrText xml:space="preserve"> HYPERLINK \l "_Toc61613466" </w:instrText>
      </w:r>
      <w:r>
        <w:fldChar w:fldCharType="separate"/>
      </w:r>
      <w:r>
        <w:rPr>
          <w:rStyle w:val="24"/>
          <w:lang w:val="en-GB"/>
        </w:rPr>
        <w:t>5.3.2</w:t>
      </w:r>
      <w:r>
        <w:rPr>
          <w:rFonts w:asciiTheme="minorHAnsi" w:hAnsiTheme="minorHAnsi" w:eastAsiaTheme="minorEastAsia" w:cstheme="minorBidi"/>
          <w:sz w:val="21"/>
          <w:szCs w:val="22"/>
        </w:rPr>
        <w:tab/>
      </w:r>
      <w:r>
        <w:rPr>
          <w:rStyle w:val="24"/>
        </w:rPr>
        <w:t>普通窗</w:t>
      </w:r>
      <w:r>
        <w:tab/>
      </w:r>
      <w:r>
        <w:fldChar w:fldCharType="begin"/>
      </w:r>
      <w:r>
        <w:instrText xml:space="preserve"> PAGEREF _Toc61613466 \h </w:instrText>
      </w:r>
      <w:r>
        <w:fldChar w:fldCharType="separate"/>
      </w:r>
      <w:r>
        <w:t>6</w:t>
      </w:r>
      <w:r>
        <w:fldChar w:fldCharType="end"/>
      </w:r>
      <w:r>
        <w:fldChar w:fldCharType="end"/>
      </w:r>
    </w:p>
    <w:p>
      <w:pPr>
        <w:pStyle w:val="14"/>
        <w:tabs>
          <w:tab w:val="left" w:pos="4571"/>
        </w:tabs>
        <w:rPr>
          <w:rFonts w:asciiTheme="minorHAnsi" w:hAnsiTheme="minorHAnsi" w:eastAsiaTheme="minorEastAsia" w:cstheme="minorBidi"/>
          <w:sz w:val="21"/>
          <w:szCs w:val="22"/>
        </w:rPr>
      </w:pPr>
      <w:r>
        <w:fldChar w:fldCharType="begin"/>
      </w:r>
      <w:r>
        <w:instrText xml:space="preserve"> HYPERLINK \l "_Toc61613467" </w:instrText>
      </w:r>
      <w:r>
        <w:fldChar w:fldCharType="separate"/>
      </w:r>
      <w:r>
        <w:rPr>
          <w:rStyle w:val="24"/>
          <w:lang w:val="en-GB"/>
        </w:rPr>
        <w:t>5.3.3</w:t>
      </w:r>
      <w:r>
        <w:rPr>
          <w:rFonts w:asciiTheme="minorHAnsi" w:hAnsiTheme="minorHAnsi" w:eastAsiaTheme="minorEastAsia" w:cstheme="minorBidi"/>
          <w:sz w:val="21"/>
          <w:szCs w:val="22"/>
        </w:rPr>
        <w:tab/>
      </w:r>
      <w:r>
        <w:rPr>
          <w:rStyle w:val="24"/>
        </w:rPr>
        <w:t>天窗</w:t>
      </w:r>
      <w:r>
        <w:tab/>
      </w:r>
      <w:r>
        <w:fldChar w:fldCharType="begin"/>
      </w:r>
      <w:r>
        <w:instrText xml:space="preserve"> PAGEREF _Toc61613467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"_Toc61613468" </w:instrText>
      </w:r>
      <w:r>
        <w:fldChar w:fldCharType="separate"/>
      </w:r>
      <w:r>
        <w:rPr>
          <w:rStyle w:val="24"/>
        </w:rPr>
        <w:t>6.</w:t>
      </w:r>
      <w:r>
        <w:rPr>
          <w:rFonts w:asciiTheme="minorHAnsi" w:hAnsiTheme="minorHAnsi" w:eastAsiaTheme="minorEastAsia" w:cstheme="minorBidi"/>
          <w:b w:val="0"/>
          <w:bCs w:val="0"/>
          <w:sz w:val="21"/>
          <w:szCs w:val="22"/>
        </w:rPr>
        <w:tab/>
      </w:r>
      <w:r>
        <w:rPr>
          <w:rStyle w:val="24"/>
        </w:rPr>
        <w:t>分析结果展示</w:t>
      </w:r>
      <w:r>
        <w:tab/>
      </w:r>
      <w:r>
        <w:fldChar w:fldCharType="begin"/>
      </w:r>
      <w:r>
        <w:instrText xml:space="preserve"> PAGEREF _Toc61613468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"_Toc61613469" </w:instrText>
      </w:r>
      <w:r>
        <w:fldChar w:fldCharType="separate"/>
      </w:r>
      <w:r>
        <w:rPr>
          <w:rStyle w:val="24"/>
        </w:rPr>
        <w:t>7.</w:t>
      </w:r>
      <w:r>
        <w:rPr>
          <w:rFonts w:asciiTheme="minorHAnsi" w:hAnsiTheme="minorHAnsi" w:eastAsiaTheme="minorEastAsia" w:cstheme="minorBidi"/>
          <w:b w:val="0"/>
          <w:bCs w:val="0"/>
          <w:sz w:val="21"/>
          <w:szCs w:val="22"/>
        </w:rPr>
        <w:tab/>
      </w:r>
      <w:r>
        <w:rPr>
          <w:rStyle w:val="24"/>
        </w:rPr>
        <w:t>评价结论</w:t>
      </w:r>
      <w:r>
        <w:tab/>
      </w:r>
      <w:r>
        <w:fldChar w:fldCharType="begin"/>
      </w:r>
      <w:r>
        <w:instrText xml:space="preserve"> PAGEREF _Toc61613469 \h </w:instrText>
      </w:r>
      <w:r>
        <w:fldChar w:fldCharType="separate"/>
      </w:r>
      <w:r>
        <w:t>8</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"_Toc61613470" </w:instrText>
      </w:r>
      <w:r>
        <w:fldChar w:fldCharType="separate"/>
      </w:r>
      <w:r>
        <w:rPr>
          <w:rStyle w:val="24"/>
          <w:rFonts w:ascii="黑体" w:hAnsi="黑体" w:eastAsia="黑体"/>
        </w:rPr>
        <w:t>附件一：项目主要附图</w:t>
      </w:r>
      <w:r>
        <w:tab/>
      </w:r>
      <w:r>
        <w:fldChar w:fldCharType="begin"/>
      </w:r>
      <w:r>
        <w:instrText xml:space="preserve"> PAGEREF _Toc61613470 \h </w:instrText>
      </w:r>
      <w:r>
        <w:fldChar w:fldCharType="separate"/>
      </w:r>
      <w:r>
        <w:t>9</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8"/>
    </w:p>
    <w:p>
      <w:pPr>
        <w:pStyle w:val="2"/>
        <w:ind w:left="432" w:hanging="432"/>
      </w:pPr>
      <w:bookmarkStart w:id="9" w:name="_Toc61613452"/>
      <w:r>
        <w:rPr>
          <w:rFonts w:hint="eastAsia"/>
        </w:rPr>
        <w:t>建筑概况</w:t>
      </w:r>
      <w:bookmarkEnd w:id="9"/>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34"/>
        <w:gridCol w:w="3116"/>
        <w:gridCol w:w="3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bookmarkStart w:id="10" w:name="建筑概况表"/>
            <w:r>
              <w:rPr>
                <w:rFonts w:hint="eastAsia" w:ascii="宋体" w:hAnsi="宋体"/>
                <w:lang w:val="en-US"/>
              </w:rPr>
              <w:t>工程名称</w:t>
            </w:r>
          </w:p>
        </w:tc>
        <w:tc>
          <w:tcPr>
            <w:tcW w:w="6073" w:type="dxa"/>
            <w:gridSpan w:val="2"/>
            <w:noWrap w:val="0"/>
            <w:vAlign w:val="top"/>
          </w:tcPr>
          <w:p>
            <w:pPr>
              <w:pStyle w:val="3"/>
              <w:ind w:firstLine="0" w:firstLineChars="0"/>
              <w:rPr>
                <w:rFonts w:ascii="宋体" w:hAnsi="宋体"/>
                <w:lang w:val="en-US"/>
              </w:rPr>
            </w:pPr>
            <w:r>
              <w:rPr>
                <w:rFonts w:hint="eastAsia"/>
              </w:rPr>
              <w:t>重庆石马河街道TOD方案设计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工程地点</w:t>
            </w:r>
          </w:p>
        </w:tc>
        <w:tc>
          <w:tcPr>
            <w:tcW w:w="6073" w:type="dxa"/>
            <w:gridSpan w:val="2"/>
            <w:noWrap w:val="0"/>
            <w:vAlign w:val="top"/>
          </w:tcPr>
          <w:p>
            <w:pPr>
              <w:pStyle w:val="3"/>
              <w:ind w:firstLine="0" w:firstLineChars="0"/>
              <w:rPr>
                <w:rFonts w:ascii="宋体" w:hAnsi="宋体"/>
                <w:lang w:val="en-US"/>
              </w:rPr>
            </w:pPr>
            <w:bookmarkStart w:id="11" w:name="工程地点"/>
            <w:r>
              <w:t>重庆-重庆</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地理位置</w:t>
            </w:r>
          </w:p>
        </w:tc>
        <w:tc>
          <w:tcPr>
            <w:tcW w:w="3034" w:type="dxa"/>
            <w:noWrap w:val="0"/>
            <w:vAlign w:val="top"/>
          </w:tcPr>
          <w:p>
            <w:pPr>
              <w:pStyle w:val="3"/>
              <w:ind w:firstLine="0" w:firstLineChars="0"/>
              <w:rPr>
                <w:rFonts w:ascii="宋体" w:hAnsi="宋体"/>
                <w:lang w:val="en-US"/>
              </w:rPr>
            </w:pPr>
            <w:r>
              <w:rPr>
                <w:rFonts w:hint="eastAsia" w:ascii="宋体" w:hAnsi="宋体"/>
                <w:lang w:val="en-US"/>
              </w:rPr>
              <w:t>北纬：</w:t>
            </w:r>
            <w:bookmarkStart w:id="12" w:name="纬度"/>
            <w:r>
              <w:rPr>
                <w:rFonts w:hint="eastAsia" w:ascii="宋体" w:hAnsi="宋体"/>
                <w:lang w:val="en-US"/>
              </w:rPr>
              <w:t>29.58</w:t>
            </w:r>
            <w:bookmarkEnd w:id="12"/>
            <w:r>
              <w:rPr>
                <w:rFonts w:hint="eastAsia" w:ascii="宋体" w:hAnsi="宋体"/>
                <w:lang w:val="en-US"/>
              </w:rPr>
              <w:t>°</w:t>
            </w:r>
          </w:p>
        </w:tc>
        <w:tc>
          <w:tcPr>
            <w:tcW w:w="3039" w:type="dxa"/>
            <w:noWrap w:val="0"/>
            <w:vAlign w:val="top"/>
          </w:tcPr>
          <w:p>
            <w:pPr>
              <w:pStyle w:val="3"/>
              <w:ind w:firstLine="0" w:firstLineChars="0"/>
              <w:rPr>
                <w:rFonts w:ascii="宋体" w:hAnsi="宋体"/>
                <w:lang w:val="en-US"/>
              </w:rPr>
            </w:pPr>
            <w:r>
              <w:rPr>
                <w:rFonts w:hint="eastAsia" w:ascii="宋体" w:hAnsi="宋体"/>
                <w:lang w:val="en-US"/>
              </w:rPr>
              <w:t>东经：</w:t>
            </w:r>
            <w:bookmarkStart w:id="13" w:name="经度"/>
            <w:r>
              <w:rPr>
                <w:rFonts w:hint="eastAsia" w:ascii="宋体" w:hAnsi="宋体"/>
                <w:lang w:val="en-US"/>
              </w:rPr>
              <w:t>106.47</w:t>
            </w:r>
            <w:bookmarkEnd w:id="13"/>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建筑面积</w:t>
            </w:r>
          </w:p>
        </w:tc>
        <w:tc>
          <w:tcPr>
            <w:tcW w:w="6073" w:type="dxa"/>
            <w:gridSpan w:val="2"/>
            <w:noWrap w:val="0"/>
            <w:vAlign w:val="top"/>
          </w:tcPr>
          <w:p>
            <w:pPr>
              <w:pStyle w:val="3"/>
              <w:ind w:firstLine="0" w:firstLineChars="0"/>
              <w:rPr>
                <w:rFonts w:ascii="宋体" w:hAnsi="宋体"/>
                <w:lang w:val="en-US"/>
              </w:rPr>
            </w:pPr>
            <w:r>
              <w:rPr>
                <w:rFonts w:hint="eastAsia" w:ascii="宋体" w:hAnsi="宋体"/>
                <w:lang w:val="en-US"/>
              </w:rPr>
              <w:t>地上</w:t>
            </w:r>
            <w:r>
              <w:rPr>
                <w:rFonts w:ascii="宋体" w:hAnsi="宋体"/>
                <w:lang w:val="en-US"/>
              </w:rPr>
              <w:t>107546.28</w:t>
            </w:r>
            <w:r>
              <w:rPr>
                <w:rFonts w:hint="eastAsia" w:ascii="宋体" w:hAnsi="宋体"/>
              </w:rPr>
              <w:t>㎡</w:t>
            </w:r>
            <w:r>
              <w:rPr>
                <w:rFonts w:hint="eastAsia" w:ascii="宋体" w:hAnsi="宋体"/>
                <w:lang w:val="en-US"/>
              </w:rPr>
              <w:t xml:space="preserve">    地下</w:t>
            </w:r>
            <w:bookmarkStart w:id="14" w:name="地下建筑面积"/>
            <w:r>
              <w:rPr>
                <w:rFonts w:hint="eastAsia" w:ascii="宋体" w:hAnsi="宋体"/>
                <w:lang w:val="en-US"/>
              </w:rPr>
              <w:t>0</w:t>
            </w:r>
            <w:bookmarkEnd w:id="14"/>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建筑层数</w:t>
            </w:r>
          </w:p>
        </w:tc>
        <w:tc>
          <w:tcPr>
            <w:tcW w:w="6073" w:type="dxa"/>
            <w:gridSpan w:val="2"/>
            <w:noWrap w:val="0"/>
            <w:vAlign w:val="top"/>
          </w:tcPr>
          <w:p>
            <w:pPr>
              <w:pStyle w:val="3"/>
              <w:ind w:firstLine="0" w:firstLineChars="0"/>
              <w:rPr>
                <w:rFonts w:ascii="宋体" w:hAnsi="宋体"/>
                <w:lang w:val="en-US"/>
              </w:rPr>
            </w:pPr>
            <w:r>
              <w:rPr>
                <w:rFonts w:hint="eastAsia" w:ascii="宋体" w:hAnsi="宋体"/>
                <w:lang w:val="en-US"/>
              </w:rPr>
              <w:t>地上</w:t>
            </w:r>
            <w:r>
              <w:rPr>
                <w:rFonts w:ascii="宋体" w:hAnsi="宋体"/>
                <w:lang w:val="en-US"/>
              </w:rPr>
              <w:t>22</w:t>
            </w:r>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建筑高度</w:t>
            </w:r>
          </w:p>
        </w:tc>
        <w:tc>
          <w:tcPr>
            <w:tcW w:w="6073" w:type="dxa"/>
            <w:gridSpan w:val="2"/>
            <w:noWrap w:val="0"/>
            <w:vAlign w:val="top"/>
          </w:tcPr>
          <w:p>
            <w:pPr>
              <w:pStyle w:val="3"/>
              <w:ind w:firstLine="0" w:firstLineChars="0"/>
              <w:rPr>
                <w:rFonts w:ascii="宋体" w:hAnsi="宋体"/>
                <w:lang w:val="en-US"/>
              </w:rPr>
            </w:pPr>
            <w:bookmarkStart w:id="16" w:name="地上建筑高度"/>
            <w:r>
              <w:rPr>
                <w:rFonts w:ascii="宋体" w:hAnsi="宋体"/>
                <w:lang w:val="en-US"/>
              </w:rPr>
              <w:t>93</w:t>
            </w:r>
            <w:r>
              <w:rPr>
                <w:rFonts w:hint="eastAsia" w:ascii="宋体" w:hAnsi="宋体"/>
                <w:lang w:val="en-US"/>
              </w:rPr>
              <w:t>.0</w:t>
            </w:r>
            <w:bookmarkEnd w:id="16"/>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建筑（节能计算）体积</w:t>
            </w:r>
          </w:p>
        </w:tc>
        <w:tc>
          <w:tcPr>
            <w:tcW w:w="6073" w:type="dxa"/>
            <w:gridSpan w:val="2"/>
            <w:noWrap w:val="0"/>
            <w:vAlign w:val="top"/>
          </w:tcPr>
          <w:p>
            <w:pPr>
              <w:pStyle w:val="3"/>
              <w:ind w:firstLine="0" w:firstLineChars="0"/>
              <w:rPr>
                <w:rFonts w:ascii="宋体" w:hAnsi="宋体"/>
                <w:lang w:val="en-US"/>
              </w:rPr>
            </w:pPr>
            <w:r>
              <w:t>459985.01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建筑（节能计算）外表面积</w:t>
            </w:r>
          </w:p>
        </w:tc>
        <w:tc>
          <w:tcPr>
            <w:tcW w:w="6073" w:type="dxa"/>
            <w:gridSpan w:val="2"/>
            <w:noWrap w:val="0"/>
            <w:vAlign w:val="top"/>
          </w:tcPr>
          <w:p>
            <w:pPr>
              <w:pStyle w:val="3"/>
              <w:ind w:firstLine="0" w:firstLineChars="0"/>
              <w:rPr>
                <w:rFonts w:ascii="宋体" w:hAnsi="宋体"/>
                <w:lang w:val="en-US"/>
              </w:rPr>
            </w:pPr>
            <w:r>
              <w:t>53283.56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北向</w:t>
            </w:r>
            <w:r>
              <w:rPr>
                <w:rFonts w:ascii="宋体" w:hAnsi="宋体"/>
                <w:lang w:val="en-US"/>
              </w:rPr>
              <w:t>角度</w:t>
            </w:r>
          </w:p>
        </w:tc>
        <w:tc>
          <w:tcPr>
            <w:tcW w:w="6073" w:type="dxa"/>
            <w:gridSpan w:val="2"/>
            <w:noWrap w:val="0"/>
            <w:vAlign w:val="top"/>
          </w:tcPr>
          <w:p>
            <w:pPr>
              <w:pStyle w:val="3"/>
              <w:ind w:firstLine="0" w:firstLineChars="0"/>
              <w:rPr>
                <w:rFonts w:ascii="宋体" w:hAnsi="宋体"/>
                <w:lang w:val="en-US"/>
              </w:rPr>
            </w:pPr>
            <w:r>
              <w:t>126.3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ascii="宋体" w:hAnsi="宋体"/>
                <w:lang w:val="en-US"/>
              </w:rPr>
              <w:t>结构类型</w:t>
            </w:r>
          </w:p>
        </w:tc>
        <w:tc>
          <w:tcPr>
            <w:tcW w:w="6073" w:type="dxa"/>
            <w:gridSpan w:val="2"/>
            <w:noWrap w:val="0"/>
            <w:vAlign w:val="top"/>
          </w:tcPr>
          <w:p>
            <w:pPr>
              <w:pStyle w:val="3"/>
              <w:ind w:firstLine="0" w:firstLineChars="0"/>
              <w:rPr>
                <w:rFonts w:ascii="宋体" w:hAnsi="宋体"/>
                <w:lang w:val="en-US"/>
              </w:rPr>
            </w:pPr>
            <w:bookmarkStart w:id="17" w:name="结构类型"/>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外墙太阳辐射吸收系数</w:t>
            </w:r>
          </w:p>
        </w:tc>
        <w:tc>
          <w:tcPr>
            <w:tcW w:w="6073" w:type="dxa"/>
            <w:gridSpan w:val="2"/>
            <w:noWrap w:val="0"/>
            <w:vAlign w:val="top"/>
          </w:tcPr>
          <w:p>
            <w:pPr>
              <w:pStyle w:val="3"/>
              <w:ind w:firstLine="0" w:firstLineChars="0"/>
              <w:rPr>
                <w:rFonts w:ascii="宋体" w:hAnsi="宋体"/>
                <w:lang w:val="en-US"/>
              </w:rPr>
            </w:pPr>
            <w:bookmarkStart w:id="18" w:name="外墙ρ"/>
            <w:r>
              <w:rPr>
                <w:rFonts w:hint="eastAsia"/>
              </w:rPr>
              <w:t>0.</w:t>
            </w:r>
            <w:bookmarkEnd w:id="18"/>
            <w:r>
              <w:t>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59" w:type="dxa"/>
            <w:shd w:val="clear" w:color="auto" w:fill="E6E6E6"/>
            <w:noWrap w:val="0"/>
            <w:vAlign w:val="top"/>
          </w:tcPr>
          <w:p>
            <w:pPr>
              <w:pStyle w:val="3"/>
              <w:ind w:firstLine="0" w:firstLineChars="0"/>
              <w:rPr>
                <w:rFonts w:ascii="宋体" w:hAnsi="宋体"/>
                <w:lang w:val="en-US"/>
              </w:rPr>
            </w:pPr>
            <w:r>
              <w:rPr>
                <w:rFonts w:hint="eastAsia"/>
              </w:rPr>
              <w:t>屋顶太阳辐射吸收系数</w:t>
            </w:r>
          </w:p>
        </w:tc>
        <w:tc>
          <w:tcPr>
            <w:tcW w:w="6073" w:type="dxa"/>
            <w:gridSpan w:val="2"/>
            <w:noWrap w:val="0"/>
            <w:vAlign w:val="top"/>
          </w:tcPr>
          <w:p>
            <w:pPr>
              <w:pStyle w:val="3"/>
              <w:ind w:firstLine="0" w:firstLineChars="0"/>
              <w:rPr>
                <w:rFonts w:ascii="宋体" w:hAnsi="宋体"/>
                <w:lang w:val="en-US"/>
              </w:rPr>
            </w:pPr>
            <w:bookmarkStart w:id="19" w:name="屋顶ρ"/>
            <w:r>
              <w:rPr>
                <w:rFonts w:hint="eastAsia"/>
              </w:rPr>
              <w:t>0.75</w:t>
            </w:r>
            <w:bookmarkEnd w:id="19"/>
          </w:p>
        </w:tc>
      </w:tr>
      <w:bookmarkEnd w:id="10"/>
    </w:tbl>
    <w:p>
      <w:pPr>
        <w:rPr>
          <w:lang w:val="en-US"/>
        </w:rPr>
      </w:pPr>
    </w:p>
    <w:p>
      <w:pPr>
        <w:rPr>
          <w:lang w:val="en-US"/>
        </w:rPr>
      </w:pPr>
    </w:p>
    <w:p>
      <w:pPr>
        <w:pStyle w:val="2"/>
        <w:ind w:left="432" w:hanging="432"/>
      </w:pPr>
      <w:bookmarkStart w:id="20" w:name="_Toc61613453"/>
      <w:r>
        <w:rPr>
          <w:rFonts w:hint="eastAsia"/>
        </w:rPr>
        <w:t>分析目的</w:t>
      </w:r>
      <w:bookmarkEnd w:id="20"/>
    </w:p>
    <w:p>
      <w:pPr>
        <w:ind w:firstLine="420" w:firstLineChars="200"/>
        <w:jc w:val="left"/>
        <w:rPr>
          <w:sz w:val="21"/>
        </w:rPr>
      </w:pPr>
      <w:r>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ind w:firstLine="420" w:firstLineChars="200"/>
        <w:jc w:val="left"/>
        <w:rPr>
          <w:sz w:val="21"/>
        </w:rPr>
      </w:pPr>
      <w:r>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rPr>
          <w:sz w:val="21"/>
        </w:rPr>
        <w:t>Dali</w:t>
      </w:r>
      <w:r>
        <w:rPr>
          <w:rFonts w:hint="eastAsia"/>
          <w:sz w:val="21"/>
        </w:rPr>
        <w:t>软件对地下空间进行采光模拟，分析该地下室空间的采光状况并给出绿色建筑评估所需要的评价分值。</w:t>
      </w:r>
    </w:p>
    <w:p>
      <w:pPr>
        <w:pStyle w:val="2"/>
        <w:ind w:left="432" w:hanging="432"/>
      </w:pPr>
      <w:bookmarkStart w:id="21" w:name="_Toc61613454"/>
      <w:r>
        <w:rPr>
          <w:rFonts w:hint="eastAsia"/>
        </w:rPr>
        <w:t>分析依据</w:t>
      </w:r>
      <w:bookmarkEnd w:id="21"/>
    </w:p>
    <w:p>
      <w:pPr>
        <w:pStyle w:val="4"/>
      </w:pPr>
      <w:bookmarkStart w:id="22" w:name="_Toc61613455"/>
      <w:r>
        <w:rPr>
          <w:rFonts w:hint="eastAsia"/>
        </w:rPr>
        <w:t>评价依据</w:t>
      </w:r>
      <w:bookmarkEnd w:id="22"/>
    </w:p>
    <w:p>
      <w:pPr>
        <w:numPr>
          <w:ilvl w:val="0"/>
          <w:numId w:val="2"/>
        </w:numPr>
        <w:jc w:val="left"/>
        <w:rPr>
          <w:sz w:val="21"/>
          <w:lang w:val="en-US"/>
        </w:rPr>
      </w:pPr>
      <w:r>
        <w:rPr>
          <w:sz w:val="21"/>
          <w:lang w:val="en-US"/>
        </w:rPr>
        <w:t>《建筑采光设计标准》(GB 5003-2013)</w:t>
      </w:r>
    </w:p>
    <w:p>
      <w:pPr>
        <w:numPr>
          <w:ilvl w:val="0"/>
          <w:numId w:val="2"/>
        </w:numPr>
        <w:jc w:val="left"/>
        <w:rPr>
          <w:sz w:val="21"/>
          <w:lang w:val="en-US"/>
        </w:rPr>
      </w:pPr>
      <w:r>
        <w:rPr>
          <w:sz w:val="21"/>
          <w:lang w:val="en-US"/>
        </w:rPr>
        <w:t>《绿色建筑评价标准》GB/T 50378-2019</w:t>
      </w:r>
    </w:p>
    <w:p>
      <w:pPr>
        <w:numPr>
          <w:ilvl w:val="0"/>
          <w:numId w:val="2"/>
        </w:numPr>
        <w:jc w:val="left"/>
        <w:rPr>
          <w:sz w:val="21"/>
          <w:lang w:val="en-US"/>
        </w:rPr>
      </w:pPr>
      <w:r>
        <w:rPr>
          <w:sz w:val="21"/>
          <w:lang w:val="en-US"/>
        </w:rPr>
        <w:t>《绿色建筑评价标准</w:t>
      </w:r>
      <w:r>
        <w:rPr>
          <w:rFonts w:hint="eastAsia"/>
          <w:sz w:val="21"/>
          <w:lang w:val="en-US"/>
        </w:rPr>
        <w:t>技术细则2019</w:t>
      </w:r>
      <w:r>
        <w:rPr>
          <w:sz w:val="21"/>
          <w:lang w:val="en-US"/>
        </w:rPr>
        <w:t>》</w:t>
      </w:r>
    </w:p>
    <w:p>
      <w:pPr>
        <w:numPr>
          <w:ilvl w:val="0"/>
          <w:numId w:val="2"/>
        </w:numPr>
        <w:jc w:val="left"/>
        <w:rPr>
          <w:sz w:val="21"/>
          <w:lang w:val="en-US"/>
        </w:rPr>
      </w:pPr>
      <w:r>
        <w:rPr>
          <w:sz w:val="21"/>
          <w:lang w:val="en-US"/>
        </w:rPr>
        <w:t>《采光测量方法》GB/T5699-2017</w:t>
      </w:r>
    </w:p>
    <w:p>
      <w:pPr>
        <w:numPr>
          <w:ilvl w:val="0"/>
          <w:numId w:val="2"/>
        </w:numPr>
        <w:jc w:val="left"/>
        <w:rPr>
          <w:sz w:val="21"/>
          <w:lang w:val="en-US"/>
        </w:rPr>
      </w:pPr>
      <w:r>
        <w:rPr>
          <w:sz w:val="21"/>
          <w:lang w:val="en-US"/>
        </w:rPr>
        <w:t>委托方提供的项目总平面图、建筑设计图纸、设计效果图等图纸资料</w:t>
      </w:r>
    </w:p>
    <w:p>
      <w:pPr>
        <w:numPr>
          <w:ilvl w:val="0"/>
          <w:numId w:val="2"/>
        </w:numPr>
        <w:jc w:val="left"/>
        <w:rPr>
          <w:sz w:val="21"/>
          <w:lang w:val="en-US"/>
        </w:rPr>
      </w:pPr>
      <w:r>
        <w:rPr>
          <w:sz w:val="21"/>
          <w:lang w:val="en-US"/>
        </w:rPr>
        <w:t>委托方提供的其它相关资料</w:t>
      </w:r>
      <w:r>
        <w:rPr>
          <w:rFonts w:hint="eastAsia"/>
          <w:sz w:val="21"/>
          <w:lang w:val="en-US"/>
        </w:rPr>
        <w:t xml:space="preserve"> </w:t>
      </w:r>
    </w:p>
    <w:p>
      <w:pPr>
        <w:pStyle w:val="4"/>
      </w:pPr>
      <w:bookmarkStart w:id="23" w:name="_Toc61613456"/>
      <w:r>
        <w:rPr>
          <w:rFonts w:hint="eastAsia"/>
        </w:rPr>
        <w:t>标准要求</w:t>
      </w:r>
      <w:bookmarkEnd w:id="23"/>
    </w:p>
    <w:p>
      <w:pPr>
        <w:ind w:firstLine="420" w:firstLineChars="200"/>
        <w:jc w:val="left"/>
        <w:rPr>
          <w:sz w:val="21"/>
          <w:szCs w:val="21"/>
          <w:lang w:val="en-US"/>
        </w:rPr>
      </w:pPr>
      <w:r>
        <w:rPr>
          <w:sz w:val="21"/>
          <w:szCs w:val="21"/>
          <w:lang w:val="en-US"/>
        </w:rPr>
        <w:t>本报告以《建筑采光设计标准》GB 50033-2013为计算依据，以《绿色建筑评价标准》</w:t>
      </w:r>
      <w:r>
        <w:rPr>
          <w:rFonts w:hint="eastAsia"/>
          <w:sz w:val="21"/>
          <w:szCs w:val="21"/>
          <w:lang w:val="en-US"/>
        </w:rPr>
        <w:t xml:space="preserve"> </w:t>
      </w:r>
      <w:r>
        <w:rPr>
          <w:sz w:val="21"/>
          <w:szCs w:val="21"/>
          <w:lang w:val="en-US"/>
        </w:rPr>
        <w:t>GB/T 50378-2019为评价依据。</w:t>
      </w:r>
    </w:p>
    <w:p>
      <w:pPr>
        <w:pStyle w:val="13"/>
        <w:spacing w:line="240" w:lineRule="auto"/>
        <w:ind w:firstLine="42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pPr>
        <w:pStyle w:val="13"/>
        <w:spacing w:line="240" w:lineRule="auto"/>
        <w:ind w:left="360" w:leftChars="200" w:firstLine="0"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pPr>
        <w:pStyle w:val="13"/>
        <w:spacing w:line="240" w:lineRule="auto"/>
        <w:ind w:left="360" w:leftChars="200" w:firstLine="0" w:firstLineChars="0"/>
        <w:jc w:val="left"/>
        <w:rPr>
          <w:rFonts w:ascii="微软雅黑" w:hAnsi="微软雅黑"/>
          <w:sz w:val="21"/>
          <w:szCs w:val="21"/>
        </w:rPr>
      </w:pPr>
    </w:p>
    <w:p>
      <w:pPr>
        <w:pStyle w:val="3"/>
        <w:snapToGrid w:val="0"/>
        <w:spacing w:line="240" w:lineRule="auto"/>
        <w:ind w:firstLine="420"/>
        <w:jc w:val="left"/>
        <w:rPr>
          <w:rFonts w:ascii="微软雅黑" w:hAnsi="微软雅黑" w:eastAsia="微软雅黑"/>
          <w:lang w:val="en-US"/>
        </w:rPr>
      </w:pPr>
      <w:r>
        <w:rPr>
          <w:rFonts w:ascii="微软雅黑" w:hAnsi="微软雅黑" w:eastAsia="微软雅黑"/>
          <w:lang w:val="en-US"/>
        </w:rPr>
        <w:t xml:space="preserve">■ </w:t>
      </w:r>
      <w:r>
        <w:rPr>
          <w:rFonts w:ascii="微软雅黑" w:hAnsi="微软雅黑" w:eastAsia="微软雅黑"/>
          <w:b/>
          <w:lang w:val="en-US"/>
        </w:rPr>
        <w:t>《绿色建筑评价标准》GB/T 50378-2019</w:t>
      </w:r>
      <w:r>
        <w:rPr>
          <w:rFonts w:hint="eastAsia" w:ascii="微软雅黑" w:hAnsi="微软雅黑" w:eastAsia="微软雅黑"/>
          <w:lang w:val="en-US"/>
        </w:rPr>
        <w:t>规定</w:t>
      </w:r>
      <w:r>
        <w:rPr>
          <w:rFonts w:ascii="微软雅黑" w:hAnsi="微软雅黑" w:eastAsia="微软雅黑"/>
          <w:lang w:val="en-US"/>
        </w:rPr>
        <w:t>：</w:t>
      </w:r>
    </w:p>
    <w:p>
      <w:pPr>
        <w:pStyle w:val="13"/>
        <w:spacing w:line="240" w:lineRule="auto"/>
        <w:ind w:firstLine="315" w:firstLineChars="150"/>
        <w:jc w:val="left"/>
        <w:rPr>
          <w:rFonts w:ascii="微软雅黑" w:hAnsi="微软雅黑"/>
          <w:sz w:val="21"/>
          <w:szCs w:val="21"/>
        </w:rPr>
      </w:pPr>
      <w:r>
        <w:rPr>
          <w:rFonts w:ascii="微软雅黑" w:hAnsi="微软雅黑"/>
          <w:sz w:val="21"/>
          <w:szCs w:val="21"/>
        </w:rPr>
        <w:t xml:space="preserve">5. 2. 8 </w:t>
      </w:r>
      <w:r>
        <w:rPr>
          <w:rFonts w:hint="eastAsia" w:ascii="微软雅黑" w:hAnsi="微软雅黑"/>
          <w:sz w:val="21"/>
          <w:szCs w:val="21"/>
        </w:rPr>
        <w:t>充分利用天然光，评价总分值为</w:t>
      </w:r>
      <w:r>
        <w:rPr>
          <w:rFonts w:ascii="微软雅黑" w:hAnsi="微软雅黑"/>
          <w:sz w:val="21"/>
          <w:szCs w:val="21"/>
        </w:rPr>
        <w:t xml:space="preserve">12 </w:t>
      </w:r>
      <w:r>
        <w:rPr>
          <w:rFonts w:hint="eastAsia" w:ascii="微软雅黑" w:hAnsi="微软雅黑"/>
          <w:sz w:val="21"/>
          <w:szCs w:val="21"/>
        </w:rPr>
        <w:t>分，并按下列规则分别评分并累计：</w:t>
      </w:r>
    </w:p>
    <w:p>
      <w:pPr>
        <w:pStyle w:val="13"/>
        <w:spacing w:line="240" w:lineRule="auto"/>
        <w:ind w:left="418" w:leftChars="232" w:firstLine="210" w:firstLineChars="100"/>
        <w:jc w:val="left"/>
        <w:rPr>
          <w:rFonts w:ascii="微软雅黑" w:hAnsi="微软雅黑"/>
          <w:sz w:val="21"/>
          <w:szCs w:val="21"/>
        </w:rPr>
      </w:pPr>
      <w:r>
        <w:rPr>
          <w:rFonts w:ascii="微软雅黑" w:hAnsi="微软雅黑"/>
          <w:sz w:val="21"/>
          <w:szCs w:val="21"/>
        </w:rPr>
        <w:t xml:space="preserve">2 </w:t>
      </w:r>
      <w:r>
        <w:rPr>
          <w:rFonts w:hint="eastAsia" w:ascii="微软雅黑" w:hAnsi="微软雅黑"/>
          <w:sz w:val="21"/>
          <w:szCs w:val="21"/>
        </w:rPr>
        <w:t>公共建筑按下列规则分别评分并累计：</w:t>
      </w:r>
    </w:p>
    <w:p>
      <w:pPr>
        <w:pStyle w:val="13"/>
        <w:spacing w:line="240" w:lineRule="auto"/>
        <w:ind w:left="419" w:leftChars="233" w:firstLine="420"/>
        <w:jc w:val="left"/>
        <w:rPr>
          <w:rFonts w:ascii="微软雅黑" w:hAnsi="微软雅黑"/>
          <w:sz w:val="21"/>
          <w:szCs w:val="21"/>
        </w:rPr>
      </w:pPr>
      <w:r>
        <w:rPr>
          <w:rFonts w:ascii="微软雅黑" w:hAnsi="微软雅黑"/>
          <w:sz w:val="21"/>
          <w:szCs w:val="21"/>
        </w:rPr>
        <w:t xml:space="preserve">1) </w:t>
      </w:r>
      <w:r>
        <w:rPr>
          <w:rFonts w:hint="eastAsia" w:ascii="微软雅黑" w:hAnsi="微软雅黑"/>
          <w:sz w:val="21"/>
          <w:szCs w:val="21"/>
        </w:rPr>
        <w:t>内区采光系数满足采光要求的面积比例达到</w:t>
      </w:r>
      <w:bookmarkStart w:id="24" w:name="达标率评价要求"/>
      <w:r>
        <w:rPr>
          <w:rFonts w:ascii="微软雅黑" w:hAnsi="微软雅黑"/>
          <w:sz w:val="21"/>
          <w:szCs w:val="21"/>
        </w:rPr>
        <w:t>60%</w:t>
      </w:r>
      <w:bookmarkEnd w:id="24"/>
      <w:r>
        <w:rPr>
          <w:rFonts w:ascii="微软雅黑" w:hAnsi="微软雅黑"/>
          <w:sz w:val="21"/>
          <w:szCs w:val="21"/>
        </w:rPr>
        <w:t xml:space="preserve">, </w:t>
      </w:r>
      <w:r>
        <w:rPr>
          <w:rFonts w:hint="eastAsia" w:ascii="微软雅黑" w:hAnsi="微软雅黑"/>
          <w:sz w:val="21"/>
          <w:szCs w:val="21"/>
        </w:rPr>
        <w:t>得</w:t>
      </w:r>
      <w:bookmarkStart w:id="25" w:name="达标率评价分值"/>
      <w:r>
        <w:rPr>
          <w:rFonts w:ascii="微软雅黑" w:hAnsi="微软雅黑"/>
          <w:sz w:val="21"/>
          <w:szCs w:val="21"/>
        </w:rPr>
        <w:t>3</w:t>
      </w:r>
      <w:bookmarkEnd w:id="25"/>
      <w:r>
        <w:rPr>
          <w:rFonts w:ascii="微软雅黑" w:hAnsi="微软雅黑"/>
          <w:sz w:val="21"/>
          <w:szCs w:val="21"/>
        </w:rPr>
        <w:t xml:space="preserve"> </w:t>
      </w:r>
      <w:r>
        <w:rPr>
          <w:rFonts w:hint="eastAsia" w:ascii="微软雅黑" w:hAnsi="微软雅黑"/>
          <w:sz w:val="21"/>
          <w:szCs w:val="21"/>
        </w:rPr>
        <w:t>分；</w:t>
      </w:r>
    </w:p>
    <w:p>
      <w:pPr>
        <w:pStyle w:val="13"/>
        <w:spacing w:line="240" w:lineRule="auto"/>
        <w:ind w:left="418" w:leftChars="232" w:firstLine="420"/>
        <w:jc w:val="left"/>
        <w:rPr>
          <w:rFonts w:ascii="微软雅黑" w:hAnsi="微软雅黑"/>
          <w:b/>
          <w:sz w:val="21"/>
          <w:szCs w:val="21"/>
        </w:rPr>
      </w:pPr>
      <w:r>
        <w:rPr>
          <w:rFonts w:ascii="微软雅黑" w:hAnsi="微软雅黑"/>
          <w:b/>
          <w:sz w:val="21"/>
          <w:szCs w:val="21"/>
        </w:rPr>
        <w:t xml:space="preserve">2) </w:t>
      </w:r>
      <w:r>
        <w:rPr>
          <w:rFonts w:hint="eastAsia" w:ascii="微软雅黑" w:hAnsi="微软雅黑"/>
          <w:b/>
          <w:sz w:val="21"/>
          <w:szCs w:val="21"/>
        </w:rPr>
        <w:t>地下空间平均采光系数不小于</w:t>
      </w:r>
      <w:r>
        <w:rPr>
          <w:rFonts w:ascii="微软雅黑" w:hAnsi="微软雅黑"/>
          <w:b/>
          <w:sz w:val="21"/>
          <w:szCs w:val="21"/>
        </w:rPr>
        <w:t xml:space="preserve">0.5% </w:t>
      </w:r>
      <w:r>
        <w:rPr>
          <w:rFonts w:hint="eastAsia" w:ascii="微软雅黑" w:hAnsi="微软雅黑"/>
          <w:b/>
          <w:sz w:val="21"/>
          <w:szCs w:val="21"/>
        </w:rPr>
        <w:t>的面积与地下室首层面积的比例达到</w:t>
      </w:r>
      <w:bookmarkStart w:id="26" w:name="地下采光评价要求"/>
      <w:r>
        <w:rPr>
          <w:rFonts w:ascii="微软雅黑" w:hAnsi="微软雅黑"/>
          <w:b/>
          <w:sz w:val="21"/>
          <w:szCs w:val="21"/>
        </w:rPr>
        <w:t>10%</w:t>
      </w:r>
      <w:bookmarkEnd w:id="26"/>
      <w:r>
        <w:rPr>
          <w:rFonts w:ascii="微软雅黑" w:hAnsi="微软雅黑"/>
          <w:b/>
          <w:sz w:val="21"/>
          <w:szCs w:val="21"/>
        </w:rPr>
        <w:t xml:space="preserve"> </w:t>
      </w:r>
      <w:r>
        <w:rPr>
          <w:rFonts w:hint="eastAsia" w:ascii="微软雅黑" w:hAnsi="微软雅黑"/>
          <w:b/>
          <w:sz w:val="21"/>
          <w:szCs w:val="21"/>
        </w:rPr>
        <w:t>以上，得</w:t>
      </w:r>
      <w:bookmarkStart w:id="27" w:name="地下采光评价分值"/>
      <w:r>
        <w:rPr>
          <w:rFonts w:ascii="微软雅黑" w:hAnsi="微软雅黑"/>
          <w:b/>
          <w:sz w:val="21"/>
          <w:szCs w:val="21"/>
        </w:rPr>
        <w:t>3</w:t>
      </w:r>
      <w:bookmarkEnd w:id="27"/>
      <w:r>
        <w:rPr>
          <w:rFonts w:ascii="微软雅黑" w:hAnsi="微软雅黑"/>
          <w:b/>
          <w:sz w:val="21"/>
          <w:szCs w:val="21"/>
        </w:rPr>
        <w:t xml:space="preserve"> </w:t>
      </w:r>
      <w:r>
        <w:rPr>
          <w:rFonts w:hint="eastAsia" w:ascii="微软雅黑" w:hAnsi="微软雅黑"/>
          <w:b/>
          <w:sz w:val="21"/>
          <w:szCs w:val="21"/>
        </w:rPr>
        <w:t>分；</w:t>
      </w:r>
    </w:p>
    <w:p>
      <w:pPr>
        <w:pStyle w:val="13"/>
        <w:spacing w:line="240" w:lineRule="auto"/>
        <w:ind w:left="419" w:leftChars="233" w:firstLine="420"/>
        <w:jc w:val="left"/>
        <w:rPr>
          <w:rFonts w:ascii="微软雅黑" w:hAnsi="微软雅黑"/>
          <w:sz w:val="21"/>
          <w:szCs w:val="21"/>
        </w:rPr>
      </w:pPr>
      <w:r>
        <w:rPr>
          <w:rFonts w:ascii="微软雅黑" w:hAnsi="微软雅黑"/>
          <w:sz w:val="21"/>
          <w:szCs w:val="21"/>
        </w:rPr>
        <w:t xml:space="preserve">3) </w:t>
      </w:r>
      <w:r>
        <w:rPr>
          <w:rFonts w:hint="eastAsia" w:ascii="微软雅黑" w:hAnsi="微软雅黑"/>
          <w:sz w:val="21"/>
          <w:szCs w:val="21"/>
        </w:rPr>
        <w:t>室内主要功能空间至少</w:t>
      </w:r>
      <w:r>
        <w:rPr>
          <w:rFonts w:ascii="微软雅黑" w:hAnsi="微软雅黑"/>
          <w:sz w:val="21"/>
          <w:szCs w:val="21"/>
        </w:rPr>
        <w:t xml:space="preserve">60% </w:t>
      </w:r>
      <w:r>
        <w:rPr>
          <w:rFonts w:hint="eastAsia" w:ascii="微软雅黑" w:hAnsi="微软雅黑"/>
          <w:sz w:val="21"/>
          <w:szCs w:val="21"/>
        </w:rPr>
        <w:t>面积比例区域的采光照度值</w:t>
      </w:r>
      <w:r>
        <w:rPr>
          <w:rFonts w:ascii="微软雅黑" w:hAnsi="微软雅黑"/>
          <w:sz w:val="21"/>
          <w:szCs w:val="21"/>
        </w:rPr>
        <w:t>不低千采光要求的小</w:t>
      </w:r>
      <w:r>
        <w:rPr>
          <w:rFonts w:hint="eastAsia" w:ascii="微软雅黑" w:hAnsi="微软雅黑"/>
          <w:sz w:val="21"/>
          <w:szCs w:val="21"/>
        </w:rPr>
        <w:t>时</w:t>
      </w:r>
      <w:r>
        <w:rPr>
          <w:rFonts w:ascii="微软雅黑" w:hAnsi="微软雅黑"/>
          <w:sz w:val="21"/>
          <w:szCs w:val="21"/>
        </w:rPr>
        <w:t xml:space="preserve">数平均不少于4h/d, </w:t>
      </w:r>
      <w:r>
        <w:rPr>
          <w:rFonts w:hint="eastAsia" w:ascii="微软雅黑" w:hAnsi="微软雅黑"/>
          <w:sz w:val="21"/>
          <w:szCs w:val="21"/>
        </w:rPr>
        <w:t>得</w:t>
      </w:r>
      <w:r>
        <w:rPr>
          <w:rFonts w:ascii="微软雅黑" w:hAnsi="微软雅黑"/>
          <w:sz w:val="21"/>
          <w:szCs w:val="21"/>
        </w:rPr>
        <w:t xml:space="preserve">3 </w:t>
      </w:r>
      <w:r>
        <w:rPr>
          <w:rFonts w:hint="eastAsia" w:ascii="微软雅黑" w:hAnsi="微软雅黑"/>
          <w:sz w:val="21"/>
          <w:szCs w:val="21"/>
        </w:rPr>
        <w:t>分。</w:t>
      </w:r>
    </w:p>
    <w:p>
      <w:pPr>
        <w:pStyle w:val="2"/>
        <w:ind w:left="432" w:hanging="432"/>
      </w:pPr>
      <w:bookmarkStart w:id="28" w:name="_Toc61613457"/>
      <w:r>
        <w:rPr>
          <w:rFonts w:hint="eastAsia"/>
        </w:rPr>
        <w:t>应用软件与计算方法</w:t>
      </w:r>
      <w:bookmarkEnd w:id="28"/>
    </w:p>
    <w:p>
      <w:pPr>
        <w:pStyle w:val="4"/>
      </w:pPr>
      <w:bookmarkStart w:id="29" w:name="_Toc61613458"/>
      <w:r>
        <w:t>软件</w:t>
      </w:r>
      <w:r>
        <w:rPr>
          <w:rFonts w:hint="eastAsia"/>
        </w:rPr>
        <w:t>选用</w:t>
      </w:r>
      <w:bookmarkEnd w:id="29"/>
    </w:p>
    <w:p>
      <w:pPr>
        <w:ind w:firstLine="420" w:firstLineChars="200"/>
        <w:jc w:val="left"/>
        <w:rPr>
          <w:sz w:val="21"/>
        </w:rPr>
      </w:pPr>
      <w:r>
        <w:rPr>
          <w:sz w:val="21"/>
        </w:rPr>
        <w:t>本报告采用绿建斯维尔采光分析软件Dali</w:t>
      </w:r>
      <w:r>
        <w:rPr>
          <w:rFonts w:hint="eastAsia"/>
          <w:sz w:val="21"/>
        </w:rPr>
        <w:t>作为分析工具。</w:t>
      </w:r>
      <w:r>
        <w:rPr>
          <w:sz w:val="21"/>
        </w:rPr>
        <w:t>Dali是国内首款与国标《建筑采光设计标准》GB50033配套的软件，支持《绿色建筑评价标准》GB/T50378的采光指标要求</w:t>
      </w:r>
      <w:r>
        <w:rPr>
          <w:rFonts w:hint="eastAsia"/>
          <w:sz w:val="21"/>
        </w:rPr>
        <w:t>。软件</w:t>
      </w:r>
      <w:r>
        <w:rPr>
          <w:sz w:val="21"/>
        </w:rPr>
        <w:t>以Radiance为计算核心，将计算结果返回到Dali进行处理分析。Dali可对地下采光、视野率、达标率、内区采光、眩光指数等进行快速分析，并根据需求生成</w:t>
      </w:r>
      <w:r>
        <w:rPr>
          <w:rFonts w:hint="eastAsia"/>
          <w:sz w:val="21"/>
        </w:rPr>
        <w:t>《地下采光分析</w:t>
      </w:r>
      <w:r>
        <w:rPr>
          <w:sz w:val="21"/>
        </w:rPr>
        <w:t>计算书</w:t>
      </w:r>
      <w:r>
        <w:rPr>
          <w:rFonts w:hint="eastAsia"/>
          <w:sz w:val="21"/>
        </w:rPr>
        <w:t>》等</w:t>
      </w:r>
      <w:r>
        <w:rPr>
          <w:sz w:val="21"/>
        </w:rPr>
        <w:t>采光相关计算书。</w:t>
      </w:r>
    </w:p>
    <w:p>
      <w:pPr>
        <w:ind w:firstLine="420" w:firstLineChars="200"/>
        <w:jc w:val="left"/>
        <w:rPr>
          <w:sz w:val="21"/>
        </w:rPr>
      </w:pPr>
      <w:r>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pPr>
        <w:pStyle w:val="4"/>
      </w:pPr>
      <w:bookmarkStart w:id="30" w:name="_Toc61613459"/>
      <w:r>
        <w:rPr>
          <w:rFonts w:hint="eastAsia"/>
        </w:rPr>
        <w:t>计算原理</w:t>
      </w:r>
      <w:bookmarkEnd w:id="30"/>
    </w:p>
    <w:p>
      <w:pPr>
        <w:pStyle w:val="13"/>
        <w:spacing w:line="360" w:lineRule="auto"/>
        <w:ind w:firstLine="420"/>
        <w:rPr>
          <w:b/>
          <w:sz w:val="21"/>
          <w:szCs w:val="21"/>
        </w:rPr>
      </w:pPr>
      <w:r>
        <w:rPr>
          <w:rFonts w:hint="eastAsia"/>
          <w:b/>
          <w:sz w:val="21"/>
          <w:szCs w:val="21"/>
        </w:rPr>
        <w:t xml:space="preserve">■ 采光系数 </w:t>
      </w:r>
    </w:p>
    <w:p>
      <w:pPr>
        <w:ind w:firstLine="420" w:firstLineChars="200"/>
        <w:jc w:val="left"/>
        <w:rPr>
          <w:b/>
          <w:sz w:val="21"/>
        </w:rPr>
      </w:pPr>
      <w:r>
        <w:rPr>
          <w:sz w:val="21"/>
        </w:rPr>
        <w:t>在室内参考平上的一点，由直接或间接地接收来自假定和已知天空亮度分布的天空漫射光而产生的照度与同一时刻该天空半球在室外无遮挡水平面上产生的天空漫射光照度之比。</w:t>
      </w:r>
    </w:p>
    <w:p>
      <w:pPr>
        <w:jc w:val="left"/>
        <w:rPr>
          <w:sz w:val="21"/>
        </w:rPr>
      </w:pPr>
      <w:r>
        <w:rPr>
          <w:sz w:val="21"/>
        </w:rPr>
        <w:t>室内某一点的采光系数C，计算公式为：</w:t>
      </w:r>
    </w:p>
    <w:p>
      <w:pPr>
        <w:ind w:firstLine="420" w:firstLineChars="200"/>
        <w:jc w:val="left"/>
        <w:rPr>
          <w:sz w:val="21"/>
        </w:rPr>
      </w:pPr>
      <w:r>
        <w:rPr>
          <w:sz w:val="21"/>
          <w:lang w:val="en-US"/>
        </w:rPr>
        <w:drawing>
          <wp:inline distT="0" distB="0" distL="0" distR="0">
            <wp:extent cx="1076325" cy="4476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ind w:left="360" w:leftChars="200"/>
        <w:jc w:val="left"/>
        <w:rPr>
          <w:sz w:val="21"/>
        </w:rPr>
      </w:pPr>
      <w:r>
        <w:rPr>
          <w:sz w:val="21"/>
        </w:rPr>
        <w:t>式中:  En—室内照度；</w:t>
      </w:r>
    </w:p>
    <w:p>
      <w:pPr>
        <w:ind w:left="360" w:leftChars="200" w:firstLine="630" w:firstLineChars="300"/>
        <w:jc w:val="left"/>
        <w:rPr>
          <w:sz w:val="21"/>
        </w:rPr>
      </w:pPr>
      <w:r>
        <w:rPr>
          <w:sz w:val="21"/>
        </w:rPr>
        <w:t>Ew—室外照度。</w:t>
      </w:r>
    </w:p>
    <w:p>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pPr>
        <w:ind w:firstLine="420" w:firstLineChars="200"/>
        <w:jc w:val="left"/>
        <w:rPr>
          <w:sz w:val="21"/>
        </w:rPr>
      </w:pPr>
      <w:r>
        <w:rPr>
          <w:sz w:val="21"/>
        </w:rPr>
        <w:t>通常按单个房间计算平均采光系数，即房间内划分网格上各个交点上的采光系数算术平均值。</w:t>
      </w:r>
    </w:p>
    <w:p>
      <w:pPr>
        <w:ind w:firstLine="420" w:firstLineChars="200"/>
        <w:jc w:val="left"/>
        <w:rPr>
          <w:rFonts w:ascii="Times New Roman" w:hAnsi="Times New Roman"/>
          <w:b/>
          <w:sz w:val="21"/>
          <w:szCs w:val="21"/>
        </w:rPr>
      </w:pPr>
      <w:r>
        <w:rPr>
          <w:rFonts w:ascii="Times New Roman" w:hAnsi="Times New Roman"/>
          <w:b/>
          <w:sz w:val="21"/>
          <w:szCs w:val="21"/>
        </w:rPr>
        <w:t>■ 采光系数标准值</w:t>
      </w:r>
    </w:p>
    <w:p>
      <w:pPr>
        <w:ind w:firstLine="420" w:firstLineChars="200"/>
        <w:jc w:val="left"/>
        <w:rPr>
          <w:sz w:val="21"/>
        </w:rPr>
      </w:pPr>
      <w:r>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pPr>
        <w:ind w:firstLine="420" w:firstLineChars="200"/>
        <w:jc w:val="left"/>
        <w:rPr>
          <w:sz w:val="21"/>
        </w:rPr>
      </w:pPr>
      <w:r>
        <w:rPr>
          <w:sz w:val="21"/>
        </w:rPr>
        <w:t>地下空间平均采光系数≥0.5%的面积与首层地下室面积的比例，即计算首层地下房间各网格点上的采光系数，统计平均采光系数不小于0.5%部分的面积，该面积与首层地下室总面积之比。</w:t>
      </w:r>
    </w:p>
    <w:p>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依据表8.2.7的面积比例与得分的对应关系，给出地下空间天然采光效果的评价分值。</w:t>
      </w:r>
    </w:p>
    <w:p>
      <w:pPr>
        <w:pStyle w:val="4"/>
      </w:pPr>
      <w:bookmarkStart w:id="31" w:name="_Toc61613460"/>
      <w:bookmarkStart w:id="32" w:name="_Toc290209341"/>
      <w:bookmarkStart w:id="33" w:name="_Toc290149059"/>
      <w:bookmarkStart w:id="34" w:name="_Toc264043630"/>
      <w:bookmarkStart w:id="35" w:name="_Toc290209317"/>
      <w:bookmarkStart w:id="36" w:name="_Toc264569237"/>
      <w:bookmarkStart w:id="37" w:name="_Toc275165387"/>
      <w:bookmarkStart w:id="38" w:name="_Toc312399796"/>
      <w:r>
        <w:rPr>
          <w:rFonts w:hint="eastAsia"/>
        </w:rPr>
        <w:t>计算方法</w:t>
      </w:r>
      <w:bookmarkEnd w:id="31"/>
    </w:p>
    <w:p>
      <w:pPr>
        <w:ind w:firstLine="420" w:firstLineChars="200"/>
        <w:jc w:val="left"/>
        <w:rPr>
          <w:b/>
        </w:rPr>
      </w:pPr>
      <w:r>
        <w:rPr>
          <w:rFonts w:hint="eastAsia"/>
          <w:sz w:val="21"/>
        </w:rPr>
        <w:t>《建筑采光设计</w:t>
      </w:r>
      <w:r>
        <w:rPr>
          <w:sz w:val="21"/>
        </w:rPr>
        <w:t>标准》GB50033-2013第6.0.3条指出，对于采光形式复杂的建筑，应利用计算机模拟软件或缩尺模型进行采光计算分析。为尽量真实分析各功能房间（场所）的采光品质和状况，本项目采用</w:t>
      </w:r>
      <w:r>
        <w:rPr>
          <w:sz w:val="21"/>
          <w:u w:val="single"/>
        </w:rPr>
        <w:t>模拟法</w:t>
      </w:r>
      <w:r>
        <w:rPr>
          <w:sz w:val="21"/>
        </w:rPr>
        <w:t>计算采光系数</w:t>
      </w:r>
      <w:r>
        <w:rPr>
          <w:rFonts w:hint="eastAsia"/>
          <w:sz w:val="21"/>
        </w:rPr>
        <w:t>。</w:t>
      </w:r>
      <w:bookmarkEnd w:id="32"/>
      <w:bookmarkEnd w:id="33"/>
      <w:bookmarkEnd w:id="34"/>
      <w:bookmarkEnd w:id="35"/>
      <w:bookmarkEnd w:id="36"/>
      <w:bookmarkEnd w:id="37"/>
      <w:bookmarkEnd w:id="38"/>
    </w:p>
    <w:p>
      <w:pPr>
        <w:pStyle w:val="2"/>
        <w:ind w:left="432" w:hanging="432"/>
      </w:pPr>
      <w:bookmarkStart w:id="39" w:name="_Toc61613461"/>
      <w:r>
        <w:rPr>
          <w:rFonts w:hint="eastAsia"/>
        </w:rPr>
        <w:t>计算参数选用</w:t>
      </w:r>
      <w:bookmarkEnd w:id="39"/>
    </w:p>
    <w:p>
      <w:pPr>
        <w:pStyle w:val="4"/>
      </w:pPr>
      <w:bookmarkStart w:id="40" w:name="_Toc61613462"/>
      <w:r>
        <w:rPr>
          <w:rFonts w:hint="eastAsia"/>
        </w:rPr>
        <w:t>模拟条件</w:t>
      </w:r>
      <w:bookmarkEnd w:id="40"/>
    </w:p>
    <w:p>
      <w:pPr>
        <w:pStyle w:val="13"/>
        <w:adjustRightInd w:val="0"/>
        <w:spacing w:line="240" w:lineRule="auto"/>
        <w:ind w:firstLine="420"/>
        <w:rPr>
          <w:sz w:val="21"/>
          <w:szCs w:val="21"/>
        </w:rPr>
      </w:pPr>
      <w:r>
        <w:rPr>
          <w:rFonts w:hint="eastAsia"/>
          <w:b/>
          <w:sz w:val="21"/>
          <w:szCs w:val="21"/>
        </w:rPr>
        <w:t>天空状态：CIE</w:t>
      </w:r>
      <w:r>
        <w:rPr>
          <w:rFonts w:hint="eastAsia"/>
          <w:sz w:val="21"/>
          <w:szCs w:val="21"/>
        </w:rPr>
        <w:t>全阴天天空</w:t>
      </w:r>
    </w:p>
    <w:p>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adjustRightInd w:val="0"/>
            </w:pPr>
            <w:r>
              <w:rPr>
                <w:rFonts w:hint="eastAsia"/>
              </w:rPr>
              <w:t>房间面积(m2)</w:t>
            </w:r>
          </w:p>
        </w:tc>
        <w:tc>
          <w:tcPr>
            <w:tcW w:w="3272" w:type="dxa"/>
            <w:shd w:val="clear" w:color="auto" w:fill="E6E6E6"/>
            <w:vAlign w:val="center"/>
          </w:tcPr>
          <w:p>
            <w:pPr>
              <w:adjustRightInd w:val="0"/>
            </w:pPr>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r>
              <w:rPr>
                <w:rFonts w:hint="eastAsia"/>
              </w:rPr>
              <w:t>≤</w:t>
            </w:r>
            <w:bookmarkStart w:id="41" w:name="网格划分小房间面积"/>
            <w:r>
              <w:rPr>
                <w:rFonts w:hint="eastAsia"/>
              </w:rPr>
              <w:t>10</w:t>
            </w:r>
            <w:bookmarkEnd w:id="41"/>
          </w:p>
        </w:tc>
        <w:tc>
          <w:tcPr>
            <w:tcW w:w="3272" w:type="dxa"/>
            <w:shd w:val="clear" w:color="auto" w:fill="auto"/>
            <w:vAlign w:val="center"/>
          </w:tcPr>
          <w:p>
            <w:pPr>
              <w:adjustRightInd w:val="0"/>
            </w:pPr>
            <w:bookmarkStart w:id="42" w:name="小房间网格大小"/>
            <w:r>
              <w:rPr>
                <w:rFonts w:hint="eastAsia"/>
              </w:rPr>
              <w:t>0.25</w:t>
            </w:r>
            <w:bookmarkEnd w:id="4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bookmarkStart w:id="43" w:name="网格划分房间面积"/>
            <w:r>
              <w:rPr>
                <w:rFonts w:hint="eastAsia"/>
              </w:rPr>
              <w:t>10~100</w:t>
            </w:r>
            <w:bookmarkEnd w:id="43"/>
          </w:p>
        </w:tc>
        <w:tc>
          <w:tcPr>
            <w:tcW w:w="3272" w:type="dxa"/>
            <w:shd w:val="clear" w:color="auto" w:fill="auto"/>
            <w:vAlign w:val="center"/>
          </w:tcPr>
          <w:p>
            <w:pPr>
              <w:adjustRightInd w:val="0"/>
            </w:pPr>
            <w:bookmarkStart w:id="44" w:name="网格大小"/>
            <w:r>
              <w:rPr>
                <w:rFonts w:hint="eastAsia"/>
              </w:rPr>
              <w:t>0.50</w:t>
            </w:r>
            <w:bookmarkEnd w:id="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adjustRightInd w:val="0"/>
            </w:pPr>
            <w:r>
              <w:rPr>
                <w:rFonts w:hint="eastAsia"/>
              </w:rPr>
              <w:t>≥</w:t>
            </w:r>
            <w:bookmarkStart w:id="45" w:name="网格划分大房间面积"/>
            <w:r>
              <w:rPr>
                <w:rFonts w:hint="eastAsia"/>
              </w:rPr>
              <w:t>100</w:t>
            </w:r>
            <w:bookmarkEnd w:id="45"/>
          </w:p>
        </w:tc>
        <w:tc>
          <w:tcPr>
            <w:tcW w:w="3272" w:type="dxa"/>
            <w:shd w:val="clear" w:color="auto" w:fill="auto"/>
            <w:vAlign w:val="center"/>
          </w:tcPr>
          <w:p>
            <w:pPr>
              <w:adjustRightInd w:val="0"/>
            </w:pPr>
            <w:bookmarkStart w:id="46" w:name="大房间网格大小"/>
            <w:r>
              <w:rPr>
                <w:rFonts w:hint="eastAsia"/>
              </w:rPr>
              <w:t>1.00</w:t>
            </w:r>
            <w:bookmarkEnd w:id="46"/>
          </w:p>
        </w:tc>
      </w:tr>
    </w:tbl>
    <w:p>
      <w:pPr>
        <w:pStyle w:val="13"/>
        <w:adjustRightInd w:val="0"/>
        <w:spacing w:line="240" w:lineRule="auto"/>
        <w:ind w:firstLine="420"/>
        <w:rPr>
          <w:sz w:val="21"/>
          <w:szCs w:val="21"/>
        </w:rPr>
      </w:pPr>
      <w:r>
        <w:rPr>
          <w:b/>
          <w:sz w:val="21"/>
          <w:szCs w:val="21"/>
        </w:rPr>
        <w:t>周边环境</w:t>
      </w:r>
      <w:r>
        <w:rPr>
          <w:rFonts w:hint="eastAsia"/>
          <w:b/>
          <w:sz w:val="21"/>
          <w:szCs w:val="21"/>
        </w:rPr>
        <w:t>：</w:t>
      </w:r>
      <w:r>
        <w:rPr>
          <w:sz w:val="21"/>
          <w:szCs w:val="21"/>
        </w:rPr>
        <w:t>考虑</w:t>
      </w:r>
      <w:r>
        <w:rPr>
          <w:rFonts w:hint="eastAsia"/>
          <w:sz w:val="21"/>
          <w:szCs w:val="21"/>
        </w:rPr>
        <w:t>分析区内的</w:t>
      </w:r>
      <w:r>
        <w:rPr>
          <w:sz w:val="21"/>
          <w:szCs w:val="21"/>
        </w:rPr>
        <w:t>建筑物</w:t>
      </w:r>
      <w:r>
        <w:rPr>
          <w:rFonts w:hint="eastAsia"/>
          <w:sz w:val="21"/>
          <w:szCs w:val="21"/>
        </w:rPr>
        <w:t>之间</w:t>
      </w:r>
      <w:r>
        <w:rPr>
          <w:sz w:val="21"/>
          <w:szCs w:val="21"/>
        </w:rPr>
        <w:t>遮挡</w:t>
      </w:r>
    </w:p>
    <w:p>
      <w:pPr>
        <w:pStyle w:val="13"/>
        <w:adjustRightInd w:val="0"/>
        <w:spacing w:line="240" w:lineRule="auto"/>
        <w:ind w:firstLine="420"/>
        <w:rPr>
          <w:sz w:val="21"/>
          <w:szCs w:val="21"/>
        </w:rPr>
      </w:pPr>
      <w:r>
        <w:rPr>
          <w:rFonts w:hint="eastAsia"/>
          <w:b/>
          <w:sz w:val="21"/>
          <w:szCs w:val="21"/>
        </w:rPr>
        <w:t>室内环境：</w:t>
      </w:r>
      <w:r>
        <w:rPr>
          <w:sz w:val="21"/>
          <w:szCs w:val="21"/>
        </w:rPr>
        <w:t>忽略室内家具</w:t>
      </w:r>
      <w:r>
        <w:rPr>
          <w:rFonts w:hint="eastAsia"/>
          <w:sz w:val="21"/>
          <w:szCs w:val="21"/>
        </w:rPr>
        <w:t>类设施</w:t>
      </w:r>
      <w:r>
        <w:rPr>
          <w:sz w:val="21"/>
          <w:szCs w:val="21"/>
        </w:rPr>
        <w:t>的影响，</w:t>
      </w:r>
      <w:r>
        <w:rPr>
          <w:rFonts w:hint="eastAsia"/>
          <w:sz w:val="21"/>
          <w:szCs w:val="21"/>
        </w:rPr>
        <w:t>只考虑永久固定的顶棚、地面和墙面、</w:t>
      </w:r>
      <w:r>
        <w:rPr>
          <w:sz w:val="21"/>
          <w:szCs w:val="21"/>
        </w:rPr>
        <w:t>。</w:t>
      </w:r>
    </w:p>
    <w:p>
      <w:pPr>
        <w:pStyle w:val="4"/>
      </w:pPr>
      <w:bookmarkStart w:id="47" w:name="_Toc61613463"/>
      <w:r>
        <w:rPr>
          <w:rFonts w:hint="eastAsia"/>
        </w:rPr>
        <w:t>建筑饰面材料参数</w:t>
      </w:r>
      <w:bookmarkEnd w:id="47"/>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219" w:type="dxa"/>
            <w:gridSpan w:val="3"/>
            <w:tcBorders>
              <w:top w:val="single" w:color="auto" w:sz="12" w:space="0"/>
              <w:bottom w:val="single" w:color="auto" w:sz="4" w:space="0"/>
            </w:tcBorders>
            <w:shd w:val="clear" w:color="auto" w:fill="E6E6E6"/>
            <w:vAlign w:val="center"/>
          </w:tcPr>
          <w:p>
            <w:pPr>
              <w:pStyle w:val="3"/>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r>
              <w:rPr>
                <w:rFonts w:hint="eastAsia"/>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顶棚</w:t>
            </w:r>
          </w:p>
        </w:tc>
        <w:tc>
          <w:tcPr>
            <w:tcW w:w="3464" w:type="dxa"/>
            <w:tcBorders>
              <w:top w:val="single" w:color="auto" w:sz="4" w:space="0"/>
            </w:tcBorders>
            <w:shd w:val="clear" w:color="auto" w:fill="auto"/>
            <w:vAlign w:val="center"/>
          </w:tcPr>
          <w:p>
            <w:bookmarkStart w:id="48" w:name="顶棚反射比"/>
            <w:r>
              <w:rPr>
                <w:rFonts w:hint="eastAsia"/>
              </w:rPr>
              <w:t>0.75</w:t>
            </w:r>
            <w:bookmarkEnd w:id="48"/>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地面</w:t>
            </w:r>
          </w:p>
        </w:tc>
        <w:tc>
          <w:tcPr>
            <w:tcW w:w="3464" w:type="dxa"/>
            <w:tcBorders>
              <w:top w:val="single" w:color="auto" w:sz="4" w:space="0"/>
            </w:tcBorders>
            <w:shd w:val="clear" w:color="auto" w:fill="auto"/>
            <w:vAlign w:val="center"/>
          </w:tcPr>
          <w:p>
            <w:bookmarkStart w:id="49" w:name="地面反射比"/>
            <w:r>
              <w:rPr>
                <w:rFonts w:hint="eastAsia"/>
              </w:rPr>
              <w:t>0.50</w:t>
            </w:r>
            <w:bookmarkEnd w:id="49"/>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墙面</w:t>
            </w:r>
          </w:p>
        </w:tc>
        <w:tc>
          <w:tcPr>
            <w:tcW w:w="3464" w:type="dxa"/>
            <w:tcBorders>
              <w:top w:val="single" w:color="auto" w:sz="4" w:space="0"/>
            </w:tcBorders>
            <w:shd w:val="clear" w:color="auto" w:fill="auto"/>
            <w:vAlign w:val="center"/>
          </w:tcPr>
          <w:p>
            <w:bookmarkStart w:id="50" w:name="墙面反射比"/>
            <w:r>
              <w:rPr>
                <w:rFonts w:hint="eastAsia"/>
              </w:rPr>
              <w:t>0.50</w:t>
            </w:r>
            <w:bookmarkEnd w:id="50"/>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r>
              <w:rPr>
                <w:rFonts w:hint="eastAsia"/>
              </w:rPr>
              <w:t>外表面</w:t>
            </w:r>
          </w:p>
        </w:tc>
        <w:tc>
          <w:tcPr>
            <w:tcW w:w="3464" w:type="dxa"/>
            <w:tcBorders>
              <w:top w:val="single" w:color="auto" w:sz="4" w:space="0"/>
            </w:tcBorders>
            <w:shd w:val="clear" w:color="auto" w:fill="auto"/>
            <w:vAlign w:val="center"/>
          </w:tcPr>
          <w:p>
            <w:bookmarkStart w:id="51" w:name="外表面反射比"/>
            <w:r>
              <w:rPr>
                <w:rFonts w:hint="eastAsia"/>
              </w:rPr>
              <w:t>0.50</w:t>
            </w:r>
            <w:bookmarkEnd w:id="51"/>
          </w:p>
        </w:tc>
        <w:tc>
          <w:tcPr>
            <w:tcW w:w="3531" w:type="dxa"/>
            <w:tcBorders>
              <w:top w:val="single" w:color="auto" w:sz="4" w:space="0"/>
            </w:tcBorders>
            <w:shd w:val="clear" w:color="auto" w:fill="auto"/>
            <w:vAlign w:val="center"/>
          </w:tc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52" w:name="_Toc61613464"/>
      <w:r>
        <w:rPr>
          <w:rFonts w:hint="eastAsia"/>
        </w:rPr>
        <w:t>门窗类型参数</w:t>
      </w:r>
      <w:bookmarkEnd w:id="52"/>
    </w:p>
    <w:p>
      <w:pPr>
        <w:ind w:firstLine="420" w:firstLineChars="200"/>
        <w:jc w:val="left"/>
        <w:rPr>
          <w:sz w:val="21"/>
          <w:szCs w:val="21"/>
          <w:lang w:val="en-US"/>
        </w:rPr>
      </w:pPr>
      <w:r>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5"/>
      </w:pPr>
      <w:bookmarkStart w:id="53" w:name="_Toc61613465"/>
      <w:bookmarkStart w:id="54" w:name="门"/>
      <w:r>
        <w:rPr>
          <w:rFonts w:hint="eastAsia"/>
        </w:rPr>
        <w:t>透光门</w:t>
      </w:r>
      <w:bookmarkEnd w:id="53"/>
    </w:p>
    <w:bookmarkEnd w:id="54"/>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4"/>
        <w:gridCol w:w="1104"/>
        <w:gridCol w:w="1103"/>
        <w:gridCol w:w="1075"/>
        <w:gridCol w:w="1075"/>
        <w:gridCol w:w="1075"/>
        <w:gridCol w:w="1489"/>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1075" w:type="dxa"/>
            <w:shd w:val="clear" w:color="auto" w:fill="E6E6E6"/>
            <w:vAlign w:val="center"/>
          </w:tcPr>
          <w:p>
            <w:r>
              <w:t>挡光系数</w:t>
            </w:r>
          </w:p>
        </w:tc>
        <w:tc>
          <w:tcPr>
            <w:tcW w:w="1075" w:type="dxa"/>
            <w:shd w:val="clear" w:color="auto" w:fill="E6E6E6"/>
            <w:vAlign w:val="center"/>
          </w:tcPr>
          <w:p>
            <w:r>
              <w:t>窗框类型</w:t>
            </w:r>
          </w:p>
        </w:tc>
        <w:tc>
          <w:tcPr>
            <w:tcW w:w="1075" w:type="dxa"/>
            <w:shd w:val="clear" w:color="auto" w:fill="E6E6E6"/>
            <w:vAlign w:val="center"/>
          </w:tcPr>
          <w:p>
            <w:r>
              <w:t>玻璃类型</w:t>
            </w:r>
          </w:p>
        </w:tc>
        <w:tc>
          <w:tcPr>
            <w:tcW w:w="1488"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2125</w:t>
            </w:r>
          </w:p>
        </w:tc>
        <w:tc>
          <w:tcPr>
            <w:tcW w:w="1103" w:type="dxa"/>
            <w:vAlign w:val="center"/>
          </w:tcPr>
          <w:p>
            <w:r>
              <w:t>1500</w:t>
            </w:r>
          </w:p>
        </w:tc>
        <w:tc>
          <w:tcPr>
            <w:tcW w:w="1103" w:type="dxa"/>
            <w:vAlign w:val="center"/>
          </w:tcPr>
          <w:p>
            <w:r>
              <w:t>2450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M0625</w:t>
            </w:r>
          </w:p>
        </w:tc>
        <w:tc>
          <w:tcPr>
            <w:tcW w:w="1103" w:type="dxa"/>
            <w:vAlign w:val="center"/>
          </w:tcPr>
          <w:p>
            <w:r>
              <w:t>550</w:t>
            </w:r>
          </w:p>
        </w:tc>
        <w:tc>
          <w:tcPr>
            <w:tcW w:w="1103" w:type="dxa"/>
            <w:vAlign w:val="center"/>
          </w:tcPr>
          <w:p>
            <w:r>
              <w:t>2450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M0721</w:t>
            </w:r>
          </w:p>
        </w:tc>
        <w:tc>
          <w:tcPr>
            <w:tcW w:w="1103" w:type="dxa"/>
            <w:vAlign w:val="center"/>
          </w:tcPr>
          <w:p>
            <w:r>
              <w:t>700</w:t>
            </w:r>
          </w:p>
        </w:tc>
        <w:tc>
          <w:tcPr>
            <w:tcW w:w="1103" w:type="dxa"/>
            <w:vAlign w:val="center"/>
          </w:tcPr>
          <w:p>
            <w:r>
              <w:t>2100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M0818</w:t>
            </w:r>
          </w:p>
        </w:tc>
        <w:tc>
          <w:tcPr>
            <w:tcW w:w="1103" w:type="dxa"/>
            <w:vAlign w:val="center"/>
          </w:tcPr>
          <w:p>
            <w:r>
              <w:t>800</w:t>
            </w:r>
          </w:p>
        </w:tc>
        <w:tc>
          <w:tcPr>
            <w:tcW w:w="1103" w:type="dxa"/>
            <w:vAlign w:val="center"/>
          </w:tcPr>
          <w:p>
            <w:r>
              <w:t>1800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M0921</w:t>
            </w:r>
          </w:p>
        </w:tc>
        <w:tc>
          <w:tcPr>
            <w:tcW w:w="1103" w:type="dxa"/>
            <w:vAlign w:val="center"/>
          </w:tcPr>
          <w:p>
            <w:r>
              <w:t>900</w:t>
            </w:r>
          </w:p>
        </w:tc>
        <w:tc>
          <w:tcPr>
            <w:tcW w:w="1103" w:type="dxa"/>
            <w:vAlign w:val="center"/>
          </w:tcPr>
          <w:p>
            <w:r>
              <w:t>2100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M1021</w:t>
            </w:r>
          </w:p>
        </w:tc>
        <w:tc>
          <w:tcPr>
            <w:tcW w:w="1103" w:type="dxa"/>
            <w:vAlign w:val="center"/>
          </w:tcPr>
          <w:p>
            <w:r>
              <w:t>1000</w:t>
            </w:r>
          </w:p>
        </w:tc>
        <w:tc>
          <w:tcPr>
            <w:tcW w:w="1103" w:type="dxa"/>
            <w:vAlign w:val="center"/>
          </w:tcPr>
          <w:p>
            <w:r>
              <w:t>2100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03" w:type="dxa"/>
            <w:vAlign w:val="center"/>
          </w:tcPr>
          <w:p>
            <w:r>
              <w:t>M1821</w:t>
            </w:r>
          </w:p>
        </w:tc>
        <w:tc>
          <w:tcPr>
            <w:tcW w:w="1103" w:type="dxa"/>
            <w:vAlign w:val="center"/>
          </w:tcPr>
          <w:p>
            <w:r>
              <w:t>1800</w:t>
            </w:r>
          </w:p>
        </w:tc>
        <w:tc>
          <w:tcPr>
            <w:tcW w:w="1103" w:type="dxa"/>
            <w:vAlign w:val="center"/>
          </w:tcPr>
          <w:p>
            <w:r>
              <w:t>2100</w:t>
            </w:r>
          </w:p>
        </w:tc>
        <w:tc>
          <w:tcPr>
            <w:tcW w:w="1075" w:type="dxa"/>
            <w:vAlign w:val="center"/>
          </w:tcPr>
          <w:p>
            <w:r>
              <w:t>0.75</w:t>
            </w:r>
          </w:p>
        </w:tc>
        <w:tc>
          <w:tcPr>
            <w:tcW w:w="1075" w:type="dxa"/>
            <w:vAlign w:val="center"/>
          </w:tcPr>
          <w:p>
            <w:r>
              <w:t>单层铝窗</w:t>
            </w:r>
          </w:p>
        </w:tc>
        <w:tc>
          <w:tcPr>
            <w:tcW w:w="1075" w:type="dxa"/>
            <w:vAlign w:val="center"/>
          </w:tcPr>
          <w:p>
            <w:r>
              <w:t>普通玻璃</w:t>
            </w:r>
          </w:p>
        </w:tc>
        <w:tc>
          <w:tcPr>
            <w:tcW w:w="1488" w:type="dxa"/>
            <w:vAlign w:val="center"/>
          </w:tcPr>
          <w:p>
            <w:r>
              <w:t>0.80</w:t>
            </w:r>
          </w:p>
        </w:tc>
        <w:tc>
          <w:tcPr>
            <w:tcW w:w="1301" w:type="dxa"/>
            <w:vAlign w:val="center"/>
          </w:tcPr>
          <w:p>
            <w:r>
              <w:t>0.08</w:t>
            </w:r>
          </w:p>
        </w:tc>
      </w:tr>
    </w:tbl>
    <w:p>
      <w:pPr>
        <w:jc w:val="left"/>
        <w:rPr>
          <w:lang w:val="en-US"/>
        </w:rPr>
      </w:pPr>
      <w:r>
        <w:rPr>
          <w:lang w:val="en-US"/>
        </w:rPr>
        <w:t>注：计算考虑了外窗玻璃的污染折减系数影响，系数取值0.9。</w:t>
      </w:r>
    </w:p>
    <w:p>
      <w:pPr>
        <w:jc w:val="left"/>
        <w:rPr>
          <w:lang w:val="en-US"/>
        </w:rPr>
      </w:pPr>
    </w:p>
    <w:p>
      <w:pPr>
        <w:pStyle w:val="5"/>
      </w:pPr>
      <w:bookmarkStart w:id="55" w:name="_Toc61613466"/>
      <w:bookmarkStart w:id="56" w:name="窗"/>
      <w:r>
        <w:t>普通</w:t>
      </w:r>
      <w:r>
        <w:rPr>
          <w:rFonts w:hint="eastAsia"/>
        </w:rPr>
        <w:t>窗</w:t>
      </w:r>
      <w:bookmarkEnd w:id="55"/>
    </w:p>
    <w:bookmarkEnd w:id="56"/>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1021</w:t>
            </w:r>
          </w:p>
        </w:tc>
        <w:tc>
          <w:tcPr>
            <w:tcW w:w="1245" w:type="dxa"/>
            <w:vAlign w:val="center"/>
          </w:tcPr>
          <w:p>
            <w:r>
              <w:t>960</w:t>
            </w:r>
          </w:p>
        </w:tc>
        <w:tc>
          <w:tcPr>
            <w:tcW w:w="1245" w:type="dxa"/>
            <w:vAlign w:val="center"/>
          </w:tcPr>
          <w:p>
            <w:r>
              <w:t>2100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1219</w:t>
            </w:r>
          </w:p>
        </w:tc>
        <w:tc>
          <w:tcPr>
            <w:tcW w:w="1245" w:type="dxa"/>
            <w:vAlign w:val="center"/>
          </w:tcPr>
          <w:p>
            <w:r>
              <w:t>1200</w:t>
            </w:r>
          </w:p>
        </w:tc>
        <w:tc>
          <w:tcPr>
            <w:tcW w:w="1245" w:type="dxa"/>
            <w:vAlign w:val="center"/>
          </w:tcPr>
          <w:p>
            <w:r>
              <w:t>1900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1719</w:t>
            </w:r>
          </w:p>
        </w:tc>
        <w:tc>
          <w:tcPr>
            <w:tcW w:w="1245" w:type="dxa"/>
            <w:vAlign w:val="center"/>
          </w:tcPr>
          <w:p>
            <w:r>
              <w:t>1700</w:t>
            </w:r>
          </w:p>
        </w:tc>
        <w:tc>
          <w:tcPr>
            <w:tcW w:w="1245" w:type="dxa"/>
            <w:vAlign w:val="center"/>
          </w:tcPr>
          <w:p>
            <w:r>
              <w:t>1900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1819</w:t>
            </w:r>
          </w:p>
        </w:tc>
        <w:tc>
          <w:tcPr>
            <w:tcW w:w="1245" w:type="dxa"/>
            <w:vAlign w:val="center"/>
          </w:tcPr>
          <w:p>
            <w:r>
              <w:t>1800</w:t>
            </w:r>
          </w:p>
        </w:tc>
        <w:tc>
          <w:tcPr>
            <w:tcW w:w="1245" w:type="dxa"/>
            <w:vAlign w:val="center"/>
          </w:tcPr>
          <w:p>
            <w:r>
              <w:t>1900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2119</w:t>
            </w:r>
          </w:p>
        </w:tc>
        <w:tc>
          <w:tcPr>
            <w:tcW w:w="1245" w:type="dxa"/>
            <w:vAlign w:val="center"/>
          </w:tcPr>
          <w:p>
            <w:r>
              <w:t>2100</w:t>
            </w:r>
          </w:p>
        </w:tc>
        <w:tc>
          <w:tcPr>
            <w:tcW w:w="1245" w:type="dxa"/>
            <w:vAlign w:val="center"/>
          </w:tcPr>
          <w:p>
            <w:r>
              <w:t>1900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2124</w:t>
            </w:r>
          </w:p>
        </w:tc>
        <w:tc>
          <w:tcPr>
            <w:tcW w:w="1245" w:type="dxa"/>
            <w:vAlign w:val="center"/>
          </w:tcPr>
          <w:p>
            <w:r>
              <w:t>2100</w:t>
            </w:r>
          </w:p>
        </w:tc>
        <w:tc>
          <w:tcPr>
            <w:tcW w:w="1245" w:type="dxa"/>
            <w:vAlign w:val="center"/>
          </w:tcPr>
          <w:p>
            <w:r>
              <w:t>2350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2825</w:t>
            </w:r>
          </w:p>
        </w:tc>
        <w:tc>
          <w:tcPr>
            <w:tcW w:w="1245" w:type="dxa"/>
            <w:vAlign w:val="center"/>
          </w:tcPr>
          <w:p>
            <w:r>
              <w:t>2830</w:t>
            </w:r>
          </w:p>
        </w:tc>
        <w:tc>
          <w:tcPr>
            <w:tcW w:w="1245" w:type="dxa"/>
            <w:vAlign w:val="center"/>
          </w:tcPr>
          <w:p>
            <w:r>
              <w:t>2450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C0615</w:t>
            </w:r>
          </w:p>
        </w:tc>
        <w:tc>
          <w:tcPr>
            <w:tcW w:w="1245" w:type="dxa"/>
            <w:vAlign w:val="center"/>
          </w:tcPr>
          <w:p>
            <w:r>
              <w:t>560</w:t>
            </w:r>
          </w:p>
        </w:tc>
        <w:tc>
          <w:tcPr>
            <w:tcW w:w="1245" w:type="dxa"/>
            <w:vAlign w:val="center"/>
          </w:tcPr>
          <w:p>
            <w:r>
              <w:t>1500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C1212</w:t>
            </w:r>
          </w:p>
        </w:tc>
        <w:tc>
          <w:tcPr>
            <w:tcW w:w="1245" w:type="dxa"/>
            <w:vAlign w:val="center"/>
          </w:tcPr>
          <w:p>
            <w:r>
              <w:t>1200</w:t>
            </w:r>
          </w:p>
        </w:tc>
        <w:tc>
          <w:tcPr>
            <w:tcW w:w="1245" w:type="dxa"/>
            <w:vAlign w:val="center"/>
          </w:tcPr>
          <w:p>
            <w:r>
              <w:t>1200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C1216</w:t>
            </w:r>
          </w:p>
        </w:tc>
        <w:tc>
          <w:tcPr>
            <w:tcW w:w="1245" w:type="dxa"/>
            <w:vAlign w:val="center"/>
          </w:tcPr>
          <w:p>
            <w:r>
              <w:t>1200</w:t>
            </w:r>
          </w:p>
        </w:tc>
        <w:tc>
          <w:tcPr>
            <w:tcW w:w="1245" w:type="dxa"/>
            <w:vAlign w:val="center"/>
          </w:tcPr>
          <w:p>
            <w:r>
              <w:t>1550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C1510</w:t>
            </w:r>
          </w:p>
        </w:tc>
        <w:tc>
          <w:tcPr>
            <w:tcW w:w="1245" w:type="dxa"/>
            <w:vAlign w:val="center"/>
          </w:tcPr>
          <w:p>
            <w:r>
              <w:t>1500</w:t>
            </w:r>
          </w:p>
        </w:tc>
        <w:tc>
          <w:tcPr>
            <w:tcW w:w="1245" w:type="dxa"/>
            <w:vAlign w:val="center"/>
          </w:tcPr>
          <w:p>
            <w:r>
              <w:t>1000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C1524</w:t>
            </w:r>
          </w:p>
        </w:tc>
        <w:tc>
          <w:tcPr>
            <w:tcW w:w="1245" w:type="dxa"/>
            <w:vAlign w:val="center"/>
          </w:tcPr>
          <w:p>
            <w:r>
              <w:t>1500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C1719</w:t>
            </w:r>
          </w:p>
        </w:tc>
        <w:tc>
          <w:tcPr>
            <w:tcW w:w="1245" w:type="dxa"/>
            <w:vAlign w:val="center"/>
          </w:tcPr>
          <w:p>
            <w:r>
              <w:t>1700</w:t>
            </w:r>
          </w:p>
        </w:tc>
        <w:tc>
          <w:tcPr>
            <w:tcW w:w="1245" w:type="dxa"/>
            <w:vAlign w:val="center"/>
          </w:tcPr>
          <w:p>
            <w:r>
              <w:t>1900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C2113</w:t>
            </w:r>
          </w:p>
        </w:tc>
        <w:tc>
          <w:tcPr>
            <w:tcW w:w="1245" w:type="dxa"/>
            <w:vAlign w:val="center"/>
          </w:tcPr>
          <w:p>
            <w:r>
              <w:t>2100</w:t>
            </w:r>
          </w:p>
        </w:tc>
        <w:tc>
          <w:tcPr>
            <w:tcW w:w="1245" w:type="dxa"/>
            <w:vAlign w:val="center"/>
          </w:tcPr>
          <w:p>
            <w:r>
              <w:t>1250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C2610</w:t>
            </w:r>
          </w:p>
        </w:tc>
        <w:tc>
          <w:tcPr>
            <w:tcW w:w="1245" w:type="dxa"/>
            <w:vAlign w:val="center"/>
          </w:tcPr>
          <w:p>
            <w:r>
              <w:t>2580</w:t>
            </w:r>
          </w:p>
        </w:tc>
        <w:tc>
          <w:tcPr>
            <w:tcW w:w="1245" w:type="dxa"/>
            <w:vAlign w:val="center"/>
          </w:tcPr>
          <w:p>
            <w:r>
              <w:t>1000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C3024</w:t>
            </w:r>
          </w:p>
        </w:tc>
        <w:tc>
          <w:tcPr>
            <w:tcW w:w="1245" w:type="dxa"/>
            <w:vAlign w:val="center"/>
          </w:tcPr>
          <w:p>
            <w:r>
              <w:t>3000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C3610</w:t>
            </w:r>
          </w:p>
        </w:tc>
        <w:tc>
          <w:tcPr>
            <w:tcW w:w="1245" w:type="dxa"/>
            <w:vAlign w:val="center"/>
          </w:tcPr>
          <w:p>
            <w:r>
              <w:t>3600</w:t>
            </w:r>
          </w:p>
        </w:tc>
        <w:tc>
          <w:tcPr>
            <w:tcW w:w="1245" w:type="dxa"/>
            <w:vAlign w:val="center"/>
          </w:tcPr>
          <w:p>
            <w:r>
              <w:t>1000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C3624</w:t>
            </w:r>
          </w:p>
        </w:tc>
        <w:tc>
          <w:tcPr>
            <w:tcW w:w="1245" w:type="dxa"/>
            <w:vAlign w:val="center"/>
          </w:tcPr>
          <w:p>
            <w:r>
              <w:t>3600</w:t>
            </w:r>
          </w:p>
        </w:tc>
        <w:tc>
          <w:tcPr>
            <w:tcW w:w="1245" w:type="dxa"/>
            <w:vAlign w:val="center"/>
          </w:tcPr>
          <w:p>
            <w:r>
              <w:t>2400</w:t>
            </w:r>
          </w:p>
        </w:tc>
        <w:tc>
          <w:tcPr>
            <w:tcW w:w="1301" w:type="dxa"/>
            <w:vAlign w:val="center"/>
          </w:tcPr>
          <w:p>
            <w:r>
              <w:t>单层铝窗</w:t>
            </w:r>
          </w:p>
        </w:tc>
        <w:tc>
          <w:tcPr>
            <w:tcW w:w="1301" w:type="dxa"/>
            <w:vAlign w:val="center"/>
          </w:tcPr>
          <w:p>
            <w:r>
              <w:t>普通玻璃</w:t>
            </w:r>
          </w:p>
        </w:tc>
        <w:tc>
          <w:tcPr>
            <w:tcW w:w="1516" w:type="dxa"/>
            <w:vAlign w:val="center"/>
          </w:tcPr>
          <w:p>
            <w:r>
              <w:t>0.89</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透光门-M0920</w:t>
            </w:r>
          </w:p>
        </w:tc>
        <w:tc>
          <w:tcPr>
            <w:tcW w:w="1245" w:type="dxa"/>
            <w:vAlign w:val="center"/>
          </w:tcPr>
          <w:p>
            <w:r>
              <w:t>900</w:t>
            </w:r>
          </w:p>
        </w:tc>
        <w:tc>
          <w:tcPr>
            <w:tcW w:w="1245" w:type="dxa"/>
            <w:vAlign w:val="center"/>
          </w:tcPr>
          <w:p>
            <w:r>
              <w:t>2000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透光门-M1825</w:t>
            </w:r>
          </w:p>
        </w:tc>
        <w:tc>
          <w:tcPr>
            <w:tcW w:w="1245" w:type="dxa"/>
            <w:vAlign w:val="center"/>
          </w:tcPr>
          <w:p>
            <w:r>
              <w:t>1800</w:t>
            </w:r>
          </w:p>
        </w:tc>
        <w:tc>
          <w:tcPr>
            <w:tcW w:w="1245" w:type="dxa"/>
            <w:vAlign w:val="center"/>
          </w:tcPr>
          <w:p>
            <w:r>
              <w:t>2450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透光门-M3025</w:t>
            </w:r>
          </w:p>
        </w:tc>
        <w:tc>
          <w:tcPr>
            <w:tcW w:w="1245" w:type="dxa"/>
            <w:vAlign w:val="center"/>
          </w:tcPr>
          <w:p>
            <w:r>
              <w:t>3000</w:t>
            </w:r>
          </w:p>
        </w:tc>
        <w:tc>
          <w:tcPr>
            <w:tcW w:w="1245" w:type="dxa"/>
            <w:vAlign w:val="center"/>
          </w:tcPr>
          <w:p>
            <w:r>
              <w:t>2450</w:t>
            </w:r>
          </w:p>
        </w:tc>
        <w:tc>
          <w:tcPr>
            <w:tcW w:w="1301" w:type="dxa"/>
            <w:vAlign w:val="center"/>
          </w:tcPr>
          <w:p>
            <w:r>
              <w:t>单层钢窗</w:t>
            </w:r>
          </w:p>
        </w:tc>
        <w:tc>
          <w:tcPr>
            <w:tcW w:w="1301" w:type="dxa"/>
            <w:vAlign w:val="center"/>
          </w:tcPr>
          <w:p>
            <w:r>
              <w:t>普通玻璃</w:t>
            </w:r>
          </w:p>
        </w:tc>
        <w:tc>
          <w:tcPr>
            <w:tcW w:w="1516" w:type="dxa"/>
            <w:vAlign w:val="center"/>
          </w:tcPr>
          <w:p>
            <w:r>
              <w:t>0.80</w:t>
            </w:r>
          </w:p>
        </w:tc>
        <w:tc>
          <w:tcPr>
            <w:tcW w:w="1358" w:type="dxa"/>
            <w:vAlign w:val="center"/>
          </w:tcPr>
          <w:p>
            <w:r>
              <w:t>0.08</w:t>
            </w:r>
          </w:p>
        </w:tc>
      </w:tr>
    </w:tbl>
    <w:p>
      <w:pPr>
        <w:jc w:val="left"/>
        <w:rPr>
          <w:lang w:val="en-US"/>
        </w:rPr>
      </w:pPr>
      <w:r>
        <w:rPr>
          <w:lang w:val="en-US"/>
        </w:rPr>
        <w:t>注：计算考虑了外窗玻璃的污染折减系数影响，系数取值0.9。</w:t>
      </w:r>
    </w:p>
    <w:p>
      <w:pPr>
        <w:jc w:val="left"/>
        <w:rPr>
          <w:lang w:val="en-US"/>
        </w:rPr>
      </w:pPr>
    </w:p>
    <w:p>
      <w:pPr>
        <w:pStyle w:val="5"/>
      </w:pPr>
      <w:bookmarkStart w:id="57" w:name="_Toc61613467"/>
      <w:bookmarkStart w:id="58" w:name="天窗"/>
      <w:r>
        <w:rPr>
          <w:rFonts w:hint="eastAsia"/>
        </w:rPr>
        <w:t>天窗</w:t>
      </w:r>
      <w:bookmarkEnd w:id="57"/>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3"/>
        <w:gridCol w:w="1132"/>
        <w:gridCol w:w="1132"/>
        <w:gridCol w:w="1500"/>
        <w:gridCol w:w="130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shd w:val="clear" w:color="auto" w:fill="E6E6E6"/>
            <w:vAlign w:val="center"/>
          </w:tcPr>
          <w:p>
            <w:r>
              <w:t>门窗编号</w:t>
            </w:r>
          </w:p>
        </w:tc>
        <w:tc>
          <w:tcPr>
            <w:tcW w:w="1103" w:type="dxa"/>
            <w:shd w:val="clear" w:color="auto" w:fill="E6E6E6"/>
            <w:vAlign w:val="center"/>
          </w:tcPr>
          <w:p>
            <w:r>
              <w:t>宽度(mm)</w:t>
            </w:r>
          </w:p>
        </w:tc>
        <w:tc>
          <w:tcPr>
            <w:tcW w:w="1103" w:type="dxa"/>
            <w:shd w:val="clear" w:color="auto" w:fill="E6E6E6"/>
            <w:vAlign w:val="center"/>
          </w:tcPr>
          <w:p>
            <w:r>
              <w:t>高度(mm)</w:t>
            </w:r>
          </w:p>
        </w:tc>
        <w:tc>
          <w:tcPr>
            <w:tcW w:w="962" w:type="dxa"/>
            <w:shd w:val="clear" w:color="auto" w:fill="E6E6E6"/>
            <w:vAlign w:val="center"/>
          </w:tcPr>
          <w:p>
            <w:r>
              <w:t>面积</w:t>
            </w:r>
          </w:p>
        </w:tc>
        <w:tc>
          <w:tcPr>
            <w:tcW w:w="1131" w:type="dxa"/>
            <w:shd w:val="clear" w:color="auto" w:fill="E6E6E6"/>
            <w:vAlign w:val="center"/>
          </w:tcPr>
          <w:p>
            <w:r>
              <w:t>窗框类型</w:t>
            </w:r>
          </w:p>
        </w:tc>
        <w:tc>
          <w:tcPr>
            <w:tcW w:w="1131" w:type="dxa"/>
            <w:shd w:val="clear" w:color="auto" w:fill="E6E6E6"/>
            <w:vAlign w:val="center"/>
          </w:tcPr>
          <w:p>
            <w:r>
              <w:t>玻璃类型</w:t>
            </w:r>
          </w:p>
        </w:tc>
        <w:tc>
          <w:tcPr>
            <w:tcW w:w="1499" w:type="dxa"/>
            <w:shd w:val="clear" w:color="auto" w:fill="E6E6E6"/>
            <w:vAlign w:val="center"/>
          </w:tcPr>
          <w:p>
            <w:r>
              <w:t>可见光透射比</w:t>
            </w:r>
          </w:p>
        </w:tc>
        <w:tc>
          <w:tcPr>
            <w:tcW w:w="1301"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92" w:type="dxa"/>
            <w:vAlign w:val="center"/>
          </w:tcPr>
          <w:p>
            <w:r>
              <w:t>T1</w:t>
            </w:r>
          </w:p>
        </w:tc>
        <w:tc>
          <w:tcPr>
            <w:tcW w:w="1103" w:type="dxa"/>
            <w:vAlign w:val="center"/>
          </w:tcPr>
          <w:p>
            <w:r>
              <w:t>3050</w:t>
            </w:r>
          </w:p>
        </w:tc>
        <w:tc>
          <w:tcPr>
            <w:tcW w:w="1103" w:type="dxa"/>
            <w:vAlign w:val="center"/>
          </w:tcPr>
          <w:p>
            <w:r>
              <w:t>2238</w:t>
            </w:r>
          </w:p>
        </w:tc>
        <w:tc>
          <w:tcPr>
            <w:tcW w:w="962" w:type="dxa"/>
            <w:vAlign w:val="center"/>
          </w:tcPr>
          <w:p>
            <w:r>
              <w:t>6.828</w:t>
            </w:r>
          </w:p>
        </w:tc>
        <w:tc>
          <w:tcPr>
            <w:tcW w:w="1131" w:type="dxa"/>
            <w:vAlign w:val="center"/>
          </w:tcPr>
          <w:p>
            <w:r>
              <w:t>单层铝窗</w:t>
            </w:r>
          </w:p>
        </w:tc>
        <w:tc>
          <w:tcPr>
            <w:tcW w:w="1131" w:type="dxa"/>
            <w:vAlign w:val="center"/>
          </w:tcPr>
          <w:p>
            <w:r>
              <w:t>普通玻璃</w:t>
            </w:r>
          </w:p>
        </w:tc>
        <w:tc>
          <w:tcPr>
            <w:tcW w:w="1499" w:type="dxa"/>
            <w:vAlign w:val="center"/>
          </w:tcPr>
          <w:p>
            <w:r>
              <w:t>0.89</w:t>
            </w:r>
          </w:p>
        </w:tc>
        <w:tc>
          <w:tcPr>
            <w:tcW w:w="1301" w:type="dxa"/>
            <w:vAlign w:val="center"/>
          </w:tcPr>
          <w:p>
            <w:r>
              <w:t>0.08</w:t>
            </w:r>
          </w:p>
        </w:tc>
      </w:tr>
      <w:bookmarkEnd w:id="58"/>
    </w:tbl>
    <w:p>
      <w:pPr>
        <w:jc w:val="left"/>
        <w:rPr>
          <w:lang w:val="en-US"/>
        </w:rPr>
      </w:pPr>
      <w:r>
        <w:rPr>
          <w:lang w:val="en-US"/>
        </w:rPr>
        <w:t>注：</w:t>
      </w:r>
    </w:p>
    <w:p>
      <w:pPr>
        <w:jc w:val="left"/>
        <w:rPr>
          <w:lang w:val="en-US"/>
        </w:rPr>
      </w:pPr>
      <w:r>
        <w:rPr>
          <w:lang w:val="en-US"/>
        </w:rPr>
        <w:t>1.计算考虑了外窗玻璃的污染折减系数影响，系数取值和房间洁净度、玻璃倾角有关以及是否属于多雨地区有关。按照《建筑采光设计标准》GB50033附录表D.0.7取值。</w:t>
      </w:r>
    </w:p>
    <w:p>
      <w:pPr>
        <w:pStyle w:val="3"/>
        <w:ind w:firstLine="0" w:firstLineChars="0"/>
        <w:rPr>
          <w:rFonts w:ascii="宋体" w:hAnsi="宋体"/>
        </w:rPr>
      </w:pPr>
      <w:bookmarkStart w:id="59" w:name="窗污染折减系数"/>
      <w:bookmarkEnd w:id="59"/>
    </w:p>
    <w:p>
      <w:pPr>
        <w:pStyle w:val="2"/>
        <w:ind w:left="432" w:hanging="432"/>
      </w:pPr>
      <w:bookmarkStart w:id="60" w:name="_Toc61613469"/>
      <w:r>
        <w:rPr>
          <w:rFonts w:hint="eastAsia"/>
        </w:rPr>
        <w:t>评价结论</w:t>
      </w:r>
      <w:bookmarkEnd w:id="60"/>
    </w:p>
    <w:p>
      <w:pPr>
        <w:pStyle w:val="3"/>
        <w:spacing w:line="240" w:lineRule="auto"/>
        <w:ind w:left="482" w:firstLine="0" w:firstLineChars="0"/>
        <w:rPr>
          <w:rFonts w:ascii="宋体" w:hAnsi="宋体"/>
          <w:lang w:val="en-US"/>
        </w:rPr>
      </w:pPr>
      <w:r>
        <w:rPr>
          <w:sz w:val="21"/>
          <w:szCs w:val="21"/>
        </w:rPr>
        <w:t>本项目的地下空间天然采光评价，经应用Dali软件依据《建筑采光设计标准》GB 50033-2013进行采光模拟分析，以及根据《绿色建筑评价标准》GB/T 50378-2019的5.2.8条款进行评价计算，</w:t>
      </w:r>
      <w:r>
        <w:rPr>
          <w:rFonts w:hint="eastAsia"/>
          <w:sz w:val="21"/>
          <w:szCs w:val="21"/>
        </w:rPr>
        <w:t>求得</w:t>
      </w:r>
      <w:r>
        <w:rPr>
          <w:sz w:val="21"/>
          <w:szCs w:val="21"/>
        </w:rPr>
        <w:t>地下空间平均采光系数不小于</w:t>
      </w:r>
      <w:bookmarkStart w:id="61" w:name="地下采光要求2"/>
      <w:r>
        <w:rPr>
          <w:sz w:val="21"/>
          <w:szCs w:val="21"/>
        </w:rPr>
        <w:t>0.5</w:t>
      </w:r>
      <w:bookmarkEnd w:id="61"/>
      <w:r>
        <w:rPr>
          <w:sz w:val="21"/>
          <w:szCs w:val="21"/>
        </w:rPr>
        <w:t>%的面积与首层地下室面积的比例</w:t>
      </w:r>
      <w:r>
        <w:rPr>
          <w:rFonts w:hint="eastAsia"/>
          <w:sz w:val="21"/>
          <w:szCs w:val="21"/>
        </w:rPr>
        <w:t>，</w:t>
      </w:r>
      <w:r>
        <w:rPr>
          <w:sz w:val="21"/>
          <w:szCs w:val="21"/>
        </w:rPr>
        <w:t>本项目地下空间天然采光的评分项得分</w:t>
      </w:r>
      <w:bookmarkStart w:id="62" w:name="_Toc61613470"/>
      <w:r>
        <w:rPr>
          <w:rFonts w:hint="eastAsia"/>
          <w:sz w:val="21"/>
          <w:szCs w:val="21"/>
          <w:lang w:eastAsia="zh-CN"/>
        </w:rPr>
        <w:t>。</w:t>
      </w:r>
      <w:bookmarkEnd w:id="62"/>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tab/>
    </w:r>
    <w:r>
      <w:t>Dali2018</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yOGI5MmVjODNlMDEzNjFhNTUwZjQwNjMyN2RkMTYifQ=="/>
  </w:docVars>
  <w:rsids>
    <w:rsidRoot w:val="00913DF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4559"/>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0A1D"/>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13DF8"/>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170D4BB2"/>
    <w:rsid w:val="6EFD3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18"/>
      <w:szCs w:val="18"/>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qFormat/>
    <w:uiPriority w:val="0"/>
    <w:pPr>
      <w:tabs>
        <w:tab w:val="center" w:pos="4153"/>
        <w:tab w:val="right" w:pos="8306"/>
      </w:tabs>
    </w:pPr>
  </w:style>
  <w:style w:type="paragraph" w:styleId="16">
    <w:name w:val="header"/>
    <w:basedOn w:val="1"/>
    <w:qFormat/>
    <w:uiPriority w:val="0"/>
    <w:pPr>
      <w:pBdr>
        <w:bottom w:val="single" w:color="auto" w:sz="6" w:space="1"/>
      </w:pBdr>
      <w:tabs>
        <w:tab w:val="center" w:pos="4153"/>
        <w:tab w:val="right" w:pos="8306"/>
      </w:tabs>
    </w:p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567"/>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uiPriority w:val="99"/>
    <w:rPr>
      <w:color w:val="0000FF"/>
      <w:u w:val="single"/>
    </w:rPr>
  </w:style>
  <w:style w:type="character" w:customStyle="1" w:styleId="25">
    <w:name w:val="正文文本缩进 字符"/>
    <w:link w:val="13"/>
    <w:qFormat/>
    <w:uiPriority w:val="0"/>
    <w:rPr>
      <w:rFonts w:ascii="宋体" w:hAnsi="宋体" w:eastAsia="宋体"/>
      <w:kern w:val="2"/>
      <w:sz w:val="24"/>
      <w:szCs w:val="24"/>
      <w:lang w:val="en-US" w:eastAsia="zh-CN" w:bidi="ar-SA"/>
    </w:rPr>
  </w:style>
  <w:style w:type="paragraph" w:customStyle="1" w:styleId="2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locked/>
    <w:uiPriority w:val="0"/>
    <w:rPr>
      <w:rFonts w:ascii="宋体" w:hAnsi="宋体" w:eastAsia="宋体"/>
      <w:kern w:val="2"/>
      <w:sz w:val="24"/>
      <w:szCs w:val="24"/>
      <w:lang w:val="en-US" w:eastAsia="zh-CN" w:bidi="ar-SA"/>
    </w:rPr>
  </w:style>
  <w:style w:type="character" w:customStyle="1" w:styleId="28">
    <w:name w:val="Char Char21"/>
    <w:qFormat/>
    <w:uiPriority w:val="0"/>
    <w:rPr>
      <w:rFonts w:ascii="宋体" w:hAnsi="宋体" w:eastAsia="宋体" w:cs="Times New Roman"/>
      <w:sz w:val="24"/>
      <w:szCs w:val="24"/>
    </w:rPr>
  </w:style>
  <w:style w:type="character" w:customStyle="1" w:styleId="29">
    <w:name w:val="页脚 字符"/>
    <w:link w:val="15"/>
    <w:qFormat/>
    <w:uiPriority w:val="0"/>
    <w:rPr>
      <w:rFonts w:eastAsia="宋体"/>
      <w:sz w:val="18"/>
      <w:szCs w:val="18"/>
      <w:lang w:val="en-GB" w:eastAsia="zh-CN" w:bidi="ar-SA"/>
    </w:rPr>
  </w:style>
  <w:style w:type="character" w:customStyle="1" w:styleId="30">
    <w:name w:val="Char Char1"/>
    <w:qFormat/>
    <w:uiPriority w:val="0"/>
    <w:rPr>
      <w:rFonts w:ascii="宋体" w:hAnsi="宋体" w:eastAsia="宋体"/>
      <w:kern w:val="2"/>
      <w:sz w:val="24"/>
      <w:szCs w:val="24"/>
      <w:lang w:val="en-US" w:eastAsia="zh-CN" w:bidi="ar-SA"/>
    </w:rPr>
  </w:style>
  <w:style w:type="character" w:customStyle="1" w:styleId="31">
    <w:name w:val="Char Char"/>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left"/>
    </w:pPr>
    <w:rPr>
      <w:bCs/>
      <w:sz w:val="21"/>
      <w:szCs w:val="21"/>
    </w:rPr>
  </w:style>
  <w:style w:type="character" w:customStyle="1" w:styleId="34">
    <w:name w:val="wenbenk Char"/>
    <w:link w:val="33"/>
    <w:qFormat/>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tmp19</Template>
  <Company>ths</Company>
  <Pages>7</Pages>
  <Words>2963</Words>
  <Characters>3909</Characters>
  <Lines>40</Lines>
  <Paragraphs>11</Paragraphs>
  <TotalTime>0</TotalTime>
  <ScaleCrop>false</ScaleCrop>
  <LinksUpToDate>false</LinksUpToDate>
  <CharactersWithSpaces>4000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2021-01-15T06:30:00Z</dcterms:created>
  <dc:creator>Windows 用户</dc:creator>
  <cp:lastModifiedBy>深巷</cp:lastModifiedBy>
  <cp:lastPrinted>2411-12-31T16:00:00Z</cp:lastPrinted>
  <dcterms:modified xsi:type="dcterms:W3CDTF">2023-02-28T13:50:56Z</dcterms:modified>
  <dc:title>地下室采光分析报告书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2908952CCB534159B58994F1591410F7</vt:lpwstr>
  </property>
</Properties>
</file>