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工程名称</w:t>
            </w:r>
          </w:p>
        </w:tc>
        <w:tc>
          <w:tcPr>
            <w:tcW w:w="3780" w:type="dxa"/>
            <w:noWrap w:val="0"/>
            <w:vAlign w:val="top"/>
          </w:tcPr>
          <w:p>
            <w:pPr>
              <w:jc w:val="both"/>
              <w:rPr>
                <w:rFonts w:ascii="宋体" w:hAnsi="宋体"/>
                <w:szCs w:val="21"/>
              </w:rPr>
            </w:pPr>
            <w:r>
              <w:rPr>
                <w:rFonts w:hint="eastAsia" w:ascii="宋体" w:hAnsi="宋体"/>
                <w:szCs w:val="21"/>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3780" w:type="dxa"/>
            <w:noWrap w:val="0"/>
            <w:vAlign w:val="top"/>
          </w:tcPr>
          <w:p>
            <w:pPr>
              <w:jc w:val="both"/>
              <w:rPr>
                <w:rFonts w:ascii="宋体" w:hAnsi="宋体"/>
                <w:szCs w:val="21"/>
              </w:rPr>
            </w:pPr>
            <w:bookmarkStart w:id="1" w:name="地理位置"/>
            <w:r>
              <w:t>重庆-重庆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设计编号</w:t>
            </w:r>
          </w:p>
        </w:tc>
        <w:tc>
          <w:tcPr>
            <w:tcW w:w="3780" w:type="dxa"/>
            <w:noWrap w:val="0"/>
            <w:vAlign w:val="top"/>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建设单位</w:t>
            </w:r>
          </w:p>
        </w:tc>
        <w:tc>
          <w:tcPr>
            <w:tcW w:w="3780" w:type="dxa"/>
            <w:noWrap w:val="0"/>
            <w:vAlign w:val="top"/>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设计单位</w:t>
            </w:r>
          </w:p>
        </w:tc>
        <w:tc>
          <w:tcPr>
            <w:tcW w:w="3780" w:type="dxa"/>
            <w:noWrap w:val="0"/>
            <w:vAlign w:val="top"/>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 计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校 对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核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3780" w:type="dxa"/>
            <w:noWrap w:val="0"/>
            <w:vAlign w:val="top"/>
          </w:tcPr>
          <w:p>
            <w:pPr>
              <w:rPr>
                <w:rFonts w:ascii="宋体" w:hAnsi="宋体"/>
                <w:szCs w:val="21"/>
              </w:rPr>
            </w:pPr>
            <w:bookmarkStart w:id="5" w:name="报告日期"/>
            <w:r>
              <w:rPr>
                <w:rFonts w:hint="eastAsia" w:ascii="宋体" w:hAnsi="宋体"/>
                <w:szCs w:val="21"/>
              </w:rPr>
              <w:t>202</w:t>
            </w:r>
            <w:r>
              <w:rPr>
                <w:rFonts w:ascii="宋体" w:hAnsi="宋体"/>
                <w:szCs w:val="21"/>
              </w:rPr>
              <w:t>2</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07</w:t>
            </w:r>
            <w:r>
              <w:rPr>
                <w:rFonts w:hint="eastAsia" w:ascii="宋体" w:hAnsi="宋体"/>
                <w:szCs w:val="21"/>
              </w:rPr>
              <w:t>日</w:t>
            </w:r>
            <w:bookmarkEnd w:id="5"/>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6" w:name="二维码"/>
      <w:bookmarkEnd w:id="6"/>
      <w:r>
        <w:rPr>
          <w:lang w:val="en-US"/>
        </w:rP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"_Toc58514223" </w:instrText>
      </w:r>
      <w:r>
        <w:fldChar w:fldCharType="separate"/>
      </w:r>
      <w:r>
        <w:rPr>
          <w:rStyle w:val="26"/>
        </w:rPr>
        <w:t>1</w:t>
      </w:r>
      <w:r>
        <w:rPr>
          <w:rFonts w:asciiTheme="minorHAnsi" w:hAnsiTheme="minorHAnsi" w:eastAsiaTheme="minorEastAsia" w:cstheme="minorBidi"/>
          <w:b w:val="0"/>
          <w:bCs w:val="0"/>
          <w:szCs w:val="22"/>
        </w:rPr>
        <w:tab/>
      </w:r>
      <w:r>
        <w:rPr>
          <w:rStyle w:val="26"/>
          <w:rFonts w:hint="eastAsia"/>
        </w:rPr>
        <w:t>项目概况</w:t>
      </w:r>
      <w:r>
        <w:tab/>
      </w:r>
      <w:r>
        <w:fldChar w:fldCharType="begin"/>
      </w:r>
      <w:r>
        <w:instrText xml:space="preserve"> PAGEREF _Toc58514223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"_Toc58514224" </w:instrText>
      </w:r>
      <w:r>
        <w:fldChar w:fldCharType="separate"/>
      </w:r>
      <w:r>
        <w:rPr>
          <w:rStyle w:val="26"/>
          <w:lang w:val="en-GB"/>
        </w:rPr>
        <w:t>1.1</w:t>
      </w:r>
      <w:r>
        <w:rPr>
          <w:rFonts w:asciiTheme="minorHAnsi" w:hAnsiTheme="minorHAnsi" w:eastAsiaTheme="minorEastAsia" w:cstheme="minorBidi"/>
          <w:szCs w:val="22"/>
        </w:rPr>
        <w:tab/>
      </w:r>
      <w:r>
        <w:rPr>
          <w:rStyle w:val="26"/>
          <w:rFonts w:hint="eastAsia"/>
        </w:rPr>
        <w:t>总平面图</w:t>
      </w:r>
      <w:r>
        <w:tab/>
      </w:r>
      <w:r>
        <w:fldChar w:fldCharType="begin"/>
      </w:r>
      <w:r>
        <w:instrText xml:space="preserve"> PAGEREF _Toc58514224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"_Toc58514225" </w:instrText>
      </w:r>
      <w:r>
        <w:fldChar w:fldCharType="separate"/>
      </w:r>
      <w:r>
        <w:rPr>
          <w:rStyle w:val="26"/>
          <w:lang w:val="en-GB"/>
        </w:rPr>
        <w:t>1.2</w:t>
      </w:r>
      <w:r>
        <w:rPr>
          <w:rFonts w:asciiTheme="minorHAnsi" w:hAnsiTheme="minorHAnsi" w:eastAsiaTheme="minorEastAsia" w:cstheme="minorBidi"/>
          <w:szCs w:val="22"/>
        </w:rPr>
        <w:tab/>
      </w:r>
      <w:r>
        <w:rPr>
          <w:rStyle w:val="26"/>
          <w:rFonts w:hint="eastAsia"/>
        </w:rPr>
        <w:t>三维视图</w:t>
      </w:r>
      <w:r>
        <w:tab/>
      </w:r>
      <w:r>
        <w:fldChar w:fldCharType="begin"/>
      </w:r>
      <w:r>
        <w:instrText xml:space="preserve"> PAGEREF _Toc58514225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"_Toc58514226" </w:instrText>
      </w:r>
      <w:r>
        <w:fldChar w:fldCharType="separate"/>
      </w:r>
      <w:r>
        <w:rPr>
          <w:rStyle w:val="26"/>
        </w:rPr>
        <w:t>2</w:t>
      </w:r>
      <w:r>
        <w:rPr>
          <w:rFonts w:asciiTheme="minorHAnsi" w:hAnsiTheme="minorHAnsi" w:eastAsiaTheme="minorEastAsia" w:cstheme="minorBidi"/>
          <w:b w:val="0"/>
          <w:bCs w:val="0"/>
          <w:szCs w:val="22"/>
        </w:rPr>
        <w:tab/>
      </w:r>
      <w:r>
        <w:rPr>
          <w:rStyle w:val="26"/>
          <w:rFonts w:hint="eastAsia"/>
        </w:rPr>
        <w:t>计算依据</w:t>
      </w:r>
      <w:r>
        <w:tab/>
      </w:r>
      <w:r>
        <w:fldChar w:fldCharType="begin"/>
      </w:r>
      <w:r>
        <w:instrText xml:space="preserve"> PAGEREF _Toc58514226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"_Toc58514227" </w:instrText>
      </w:r>
      <w:r>
        <w:fldChar w:fldCharType="separate"/>
      </w:r>
      <w:r>
        <w:rPr>
          <w:rStyle w:val="26"/>
        </w:rPr>
        <w:t>3</w:t>
      </w:r>
      <w:r>
        <w:rPr>
          <w:rFonts w:asciiTheme="minorHAnsi" w:hAnsiTheme="minorHAnsi" w:eastAsiaTheme="minorEastAsia" w:cstheme="minorBidi"/>
          <w:b w:val="0"/>
          <w:bCs w:val="0"/>
          <w:szCs w:val="22"/>
        </w:rPr>
        <w:tab/>
      </w:r>
      <w:r>
        <w:rPr>
          <w:rStyle w:val="26"/>
          <w:rFonts w:hint="eastAsia"/>
        </w:rPr>
        <w:t>参考标准</w:t>
      </w:r>
      <w:r>
        <w:tab/>
      </w:r>
      <w:r>
        <w:fldChar w:fldCharType="begin"/>
      </w:r>
      <w:r>
        <w:instrText xml:space="preserve"> PAGEREF _Toc58514227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"_Toc58514228" </w:instrText>
      </w:r>
      <w:r>
        <w:fldChar w:fldCharType="separate"/>
      </w:r>
      <w:r>
        <w:rPr>
          <w:rStyle w:val="26"/>
        </w:rPr>
        <w:t>4</w:t>
      </w:r>
      <w:r>
        <w:rPr>
          <w:rFonts w:asciiTheme="minorHAnsi" w:hAnsiTheme="minorHAnsi" w:eastAsiaTheme="minorEastAsia" w:cstheme="minorBidi"/>
          <w:b w:val="0"/>
          <w:bCs w:val="0"/>
          <w:szCs w:val="22"/>
        </w:rPr>
        <w:tab/>
      </w:r>
      <w:r>
        <w:rPr>
          <w:rStyle w:val="26"/>
          <w:rFonts w:hint="eastAsia"/>
        </w:rPr>
        <w:t>计算原理</w:t>
      </w:r>
      <w:r>
        <w:tab/>
      </w:r>
      <w:r>
        <w:fldChar w:fldCharType="begin"/>
      </w:r>
      <w:r>
        <w:instrText xml:space="preserve"> PAGEREF _Toc58514228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"_Toc58514229" </w:instrText>
      </w:r>
      <w:r>
        <w:fldChar w:fldCharType="separate"/>
      </w:r>
      <w:r>
        <w:rPr>
          <w:rStyle w:val="26"/>
          <w:lang w:val="en-GB"/>
        </w:rPr>
        <w:t>4.1</w:t>
      </w:r>
      <w:r>
        <w:rPr>
          <w:rFonts w:asciiTheme="minorHAnsi" w:hAnsiTheme="minorHAnsi" w:eastAsiaTheme="minorEastAsia" w:cstheme="minorBidi"/>
          <w:szCs w:val="22"/>
        </w:rPr>
        <w:tab/>
      </w:r>
      <w:r>
        <w:rPr>
          <w:rStyle w:val="26"/>
          <w:rFonts w:hint="eastAsia"/>
        </w:rPr>
        <w:t>风场计算域</w:t>
      </w:r>
      <w:r>
        <w:tab/>
      </w:r>
      <w:r>
        <w:fldChar w:fldCharType="begin"/>
      </w:r>
      <w:r>
        <w:instrText xml:space="preserve"> PAGEREF _Toc58514229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"_Toc58514230" </w:instrText>
      </w:r>
      <w:r>
        <w:fldChar w:fldCharType="separate"/>
      </w:r>
      <w:r>
        <w:rPr>
          <w:rStyle w:val="26"/>
          <w:lang w:val="en-GB"/>
        </w:rPr>
        <w:t>4.1.1</w:t>
      </w:r>
      <w:r>
        <w:rPr>
          <w:rFonts w:asciiTheme="minorHAnsi" w:hAnsiTheme="minorHAnsi" w:eastAsiaTheme="minorEastAsia" w:cstheme="minorBidi"/>
          <w:szCs w:val="22"/>
        </w:rPr>
        <w:tab/>
      </w:r>
      <w:r>
        <w:rPr>
          <w:rStyle w:val="26"/>
          <w:rFonts w:hint="eastAsia"/>
        </w:rPr>
        <w:t>冬季工况风场计算域</w:t>
      </w:r>
      <w:r>
        <w:tab/>
      </w:r>
      <w:r>
        <w:fldChar w:fldCharType="begin"/>
      </w:r>
      <w:r>
        <w:instrText xml:space="preserve"> PAGEREF _Toc58514230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"_Toc58514231" </w:instrText>
      </w:r>
      <w:r>
        <w:fldChar w:fldCharType="separate"/>
      </w:r>
      <w:r>
        <w:rPr>
          <w:rStyle w:val="26"/>
          <w:lang w:val="en-GB"/>
        </w:rPr>
        <w:t>4.1.2</w:t>
      </w:r>
      <w:r>
        <w:rPr>
          <w:rFonts w:asciiTheme="minorHAnsi" w:hAnsiTheme="minorHAnsi" w:eastAsiaTheme="minorEastAsia" w:cstheme="minorBidi"/>
          <w:szCs w:val="22"/>
        </w:rPr>
        <w:tab/>
      </w:r>
      <w:r>
        <w:rPr>
          <w:rStyle w:val="26"/>
          <w:rFonts w:hint="eastAsia"/>
        </w:rPr>
        <w:t>夏季工况风场计算域</w:t>
      </w:r>
      <w:r>
        <w:tab/>
      </w:r>
      <w:r>
        <w:fldChar w:fldCharType="begin"/>
      </w:r>
      <w:r>
        <w:instrText xml:space="preserve"> PAGEREF _Toc58514231 \h </w:instrText>
      </w:r>
      <w:r>
        <w:fldChar w:fldCharType="separate"/>
      </w:r>
      <w:r>
        <w:t>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"_Toc58514232" </w:instrText>
      </w:r>
      <w:r>
        <w:fldChar w:fldCharType="separate"/>
      </w:r>
      <w:r>
        <w:rPr>
          <w:rStyle w:val="26"/>
          <w:lang w:val="en-GB"/>
        </w:rPr>
        <w:t>4.1.3</w:t>
      </w:r>
      <w:r>
        <w:rPr>
          <w:rFonts w:asciiTheme="minorHAnsi" w:hAnsiTheme="minorHAnsi" w:eastAsiaTheme="minorEastAsia" w:cstheme="minorBidi"/>
          <w:szCs w:val="22"/>
        </w:rPr>
        <w:tab/>
      </w:r>
      <w:r>
        <w:rPr>
          <w:rStyle w:val="26"/>
          <w:rFonts w:hint="eastAsia"/>
        </w:rPr>
        <w:t>过渡季工况风场计算域</w:t>
      </w:r>
      <w:r>
        <w:tab/>
      </w:r>
      <w:r>
        <w:fldChar w:fldCharType="begin"/>
      </w:r>
      <w:r>
        <w:instrText xml:space="preserve"> PAGEREF _Toc58514232 \h </w:instrText>
      </w:r>
      <w:r>
        <w:fldChar w:fldCharType="separate"/>
      </w:r>
      <w:r>
        <w:t>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"_Toc58514233" </w:instrText>
      </w:r>
      <w:r>
        <w:fldChar w:fldCharType="separate"/>
      </w:r>
      <w:r>
        <w:rPr>
          <w:rStyle w:val="26"/>
          <w:lang w:val="en-GB"/>
        </w:rPr>
        <w:t>4.2</w:t>
      </w:r>
      <w:r>
        <w:rPr>
          <w:rFonts w:asciiTheme="minorHAnsi" w:hAnsiTheme="minorHAnsi" w:eastAsiaTheme="minorEastAsia" w:cstheme="minorBidi"/>
          <w:szCs w:val="22"/>
        </w:rPr>
        <w:tab/>
      </w:r>
      <w:r>
        <w:rPr>
          <w:rStyle w:val="26"/>
          <w:rFonts w:hint="eastAsia"/>
        </w:rPr>
        <w:t>网格划分</w:t>
      </w:r>
      <w:r>
        <w:tab/>
      </w:r>
      <w:r>
        <w:fldChar w:fldCharType="begin"/>
      </w:r>
      <w:r>
        <w:instrText xml:space="preserve"> PAGEREF _Toc58514233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"_Toc58514234" </w:instrText>
      </w:r>
      <w:r>
        <w:fldChar w:fldCharType="separate"/>
      </w:r>
      <w:r>
        <w:rPr>
          <w:rStyle w:val="26"/>
          <w:lang w:val="en-GB"/>
        </w:rPr>
        <w:t>4.3</w:t>
      </w:r>
      <w:r>
        <w:rPr>
          <w:rFonts w:asciiTheme="minorHAnsi" w:hAnsiTheme="minorHAnsi" w:eastAsiaTheme="minorEastAsia" w:cstheme="minorBidi"/>
          <w:szCs w:val="22"/>
        </w:rPr>
        <w:tab/>
      </w:r>
      <w:r>
        <w:rPr>
          <w:rStyle w:val="26"/>
          <w:rFonts w:hint="eastAsia"/>
        </w:rPr>
        <w:t>边界条件</w:t>
      </w:r>
      <w:r>
        <w:tab/>
      </w:r>
      <w:r>
        <w:fldChar w:fldCharType="begin"/>
      </w:r>
      <w:r>
        <w:instrText xml:space="preserve"> PAGEREF _Toc58514234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"_Toc58514235" </w:instrText>
      </w:r>
      <w:r>
        <w:fldChar w:fldCharType="separate"/>
      </w:r>
      <w:r>
        <w:rPr>
          <w:rStyle w:val="26"/>
          <w:lang w:val="en-GB"/>
        </w:rPr>
        <w:t>4.3.1</w:t>
      </w:r>
      <w:r>
        <w:rPr>
          <w:rFonts w:asciiTheme="minorHAnsi" w:hAnsiTheme="minorHAnsi" w:eastAsiaTheme="minorEastAsia" w:cstheme="minorBidi"/>
          <w:szCs w:val="22"/>
        </w:rPr>
        <w:tab/>
      </w:r>
      <w:r>
        <w:rPr>
          <w:rStyle w:val="26"/>
          <w:rFonts w:hint="eastAsia"/>
        </w:rPr>
        <w:t>入口与出口边界条件</w:t>
      </w:r>
      <w:r>
        <w:tab/>
      </w:r>
      <w:r>
        <w:fldChar w:fldCharType="begin"/>
      </w:r>
      <w:r>
        <w:instrText xml:space="preserve"> PAGEREF _Toc58514235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"_Toc58514236" </w:instrText>
      </w:r>
      <w:r>
        <w:fldChar w:fldCharType="separate"/>
      </w:r>
      <w:r>
        <w:rPr>
          <w:rStyle w:val="26"/>
          <w:lang w:val="en-GB"/>
        </w:rPr>
        <w:t>4.3.2</w:t>
      </w:r>
      <w:r>
        <w:rPr>
          <w:rFonts w:asciiTheme="minorHAnsi" w:hAnsiTheme="minorHAnsi" w:eastAsiaTheme="minorEastAsia" w:cstheme="minorBidi"/>
          <w:szCs w:val="22"/>
        </w:rPr>
        <w:tab/>
      </w:r>
      <w:r>
        <w:rPr>
          <w:rStyle w:val="26"/>
          <w:rFonts w:hint="eastAsia"/>
        </w:rPr>
        <w:t>壁面边界条件</w:t>
      </w:r>
      <w:r>
        <w:tab/>
      </w:r>
      <w:r>
        <w:fldChar w:fldCharType="begin"/>
      </w:r>
      <w:r>
        <w:instrText xml:space="preserve"> PAGEREF _Toc58514236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"_Toc58514237" </w:instrText>
      </w:r>
      <w:r>
        <w:fldChar w:fldCharType="separate"/>
      </w:r>
      <w:r>
        <w:rPr>
          <w:rStyle w:val="26"/>
          <w:lang w:val="en-GB"/>
        </w:rPr>
        <w:t>4.4</w:t>
      </w:r>
      <w:r>
        <w:rPr>
          <w:rFonts w:asciiTheme="minorHAnsi" w:hAnsiTheme="minorHAnsi" w:eastAsiaTheme="minorEastAsia" w:cstheme="minorBidi"/>
          <w:szCs w:val="22"/>
        </w:rPr>
        <w:tab/>
      </w:r>
      <w:r>
        <w:rPr>
          <w:rStyle w:val="26"/>
          <w:rFonts w:hint="eastAsia"/>
        </w:rPr>
        <w:t>湍流模型</w:t>
      </w:r>
      <w:r>
        <w:tab/>
      </w:r>
      <w:r>
        <w:fldChar w:fldCharType="begin"/>
      </w:r>
      <w:r>
        <w:instrText xml:space="preserve"> PAGEREF _Toc58514237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"_Toc58514238" </w:instrText>
      </w:r>
      <w:r>
        <w:fldChar w:fldCharType="separate"/>
      </w:r>
      <w:r>
        <w:rPr>
          <w:rStyle w:val="26"/>
          <w:lang w:val="en-GB"/>
        </w:rPr>
        <w:t>4.5</w:t>
      </w:r>
      <w:r>
        <w:rPr>
          <w:rFonts w:asciiTheme="minorHAnsi" w:hAnsiTheme="minorHAnsi" w:eastAsiaTheme="minorEastAsia" w:cstheme="minorBidi"/>
          <w:szCs w:val="22"/>
        </w:rPr>
        <w:tab/>
      </w:r>
      <w:r>
        <w:rPr>
          <w:rStyle w:val="26"/>
          <w:rFonts w:hint="eastAsia"/>
        </w:rPr>
        <w:t>求解计算</w:t>
      </w:r>
      <w:r>
        <w:tab/>
      </w:r>
      <w:r>
        <w:fldChar w:fldCharType="begin"/>
      </w:r>
      <w:r>
        <w:instrText xml:space="preserve"> PAGEREF _Toc58514238 \h </w:instrText>
      </w:r>
      <w:r>
        <w:fldChar w:fldCharType="separate"/>
      </w:r>
      <w:r>
        <w:t>13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"_Toc58514239" </w:instrText>
      </w:r>
      <w:r>
        <w:fldChar w:fldCharType="separate"/>
      </w:r>
      <w:r>
        <w:rPr>
          <w:rStyle w:val="26"/>
          <w:lang w:val="en-GB"/>
        </w:rPr>
        <w:t>4.6</w:t>
      </w:r>
      <w:r>
        <w:rPr>
          <w:rFonts w:asciiTheme="minorHAnsi" w:hAnsiTheme="minorHAnsi" w:eastAsiaTheme="minorEastAsia" w:cstheme="minorBidi"/>
          <w:szCs w:val="22"/>
        </w:rPr>
        <w:tab/>
      </w:r>
      <w:r>
        <w:rPr>
          <w:rStyle w:val="26"/>
          <w:rFonts w:hint="eastAsia"/>
        </w:rPr>
        <w:t>风速放大系数计算</w:t>
      </w:r>
      <w:r>
        <w:tab/>
      </w:r>
      <w:r>
        <w:fldChar w:fldCharType="begin"/>
      </w:r>
      <w:r>
        <w:instrText xml:space="preserve"> PAGEREF _Toc58514239 \h </w:instrText>
      </w:r>
      <w:r>
        <w:fldChar w:fldCharType="separate"/>
      </w:r>
      <w:r>
        <w:t>14</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"_Toc58514240" </w:instrText>
      </w:r>
      <w:r>
        <w:fldChar w:fldCharType="separate"/>
      </w:r>
      <w:r>
        <w:rPr>
          <w:rStyle w:val="26"/>
        </w:rPr>
        <w:t>5</w:t>
      </w:r>
      <w:r>
        <w:rPr>
          <w:rFonts w:asciiTheme="minorHAnsi" w:hAnsiTheme="minorHAnsi" w:eastAsiaTheme="minorEastAsia" w:cstheme="minorBidi"/>
          <w:b w:val="0"/>
          <w:bCs w:val="0"/>
          <w:szCs w:val="22"/>
        </w:rPr>
        <w:tab/>
      </w:r>
      <w:r>
        <w:rPr>
          <w:rStyle w:val="26"/>
          <w:rFonts w:hint="eastAsia"/>
        </w:rPr>
        <w:t>结果分析</w:t>
      </w:r>
      <w:r>
        <w:tab/>
      </w:r>
      <w:r>
        <w:fldChar w:fldCharType="begin"/>
      </w:r>
      <w:r>
        <w:instrText xml:space="preserve"> PAGEREF _Toc58514240 \h </w:instrText>
      </w:r>
      <w:r>
        <w:fldChar w:fldCharType="separate"/>
      </w:r>
      <w:r>
        <w:t>15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"_Toc58514241" </w:instrText>
      </w:r>
      <w:r>
        <w:fldChar w:fldCharType="separate"/>
      </w:r>
      <w:r>
        <w:rPr>
          <w:rStyle w:val="26"/>
          <w:lang w:val="en-GB"/>
        </w:rPr>
        <w:t>5.1</w:t>
      </w:r>
      <w:r>
        <w:rPr>
          <w:rFonts w:asciiTheme="minorHAnsi" w:hAnsiTheme="minorHAnsi" w:eastAsiaTheme="minorEastAsia" w:cstheme="minorBidi"/>
          <w:szCs w:val="22"/>
        </w:rPr>
        <w:tab/>
      </w:r>
      <w:r>
        <w:rPr>
          <w:rStyle w:val="26"/>
          <w:rFonts w:hint="eastAsia"/>
        </w:rPr>
        <w:t>工况表</w:t>
      </w:r>
      <w:r>
        <w:tab/>
      </w:r>
      <w:r>
        <w:fldChar w:fldCharType="begin"/>
      </w:r>
      <w:r>
        <w:instrText xml:space="preserve"> PAGEREF _Toc58514241 \h </w:instrText>
      </w:r>
      <w:r>
        <w:fldChar w:fldCharType="separate"/>
      </w:r>
      <w:r>
        <w:t>15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"_Toc58514242" </w:instrText>
      </w:r>
      <w:r>
        <w:fldChar w:fldCharType="separate"/>
      </w:r>
      <w:r>
        <w:rPr>
          <w:rStyle w:val="26"/>
          <w:lang w:val="en-GB"/>
        </w:rPr>
        <w:t>5.2</w:t>
      </w:r>
      <w:r>
        <w:rPr>
          <w:rFonts w:asciiTheme="minorHAnsi" w:hAnsiTheme="minorHAnsi" w:eastAsiaTheme="minorEastAsia" w:cstheme="minorBidi"/>
          <w:szCs w:val="22"/>
        </w:rPr>
        <w:tab/>
      </w:r>
      <w:r>
        <w:rPr>
          <w:rStyle w:val="26"/>
          <w:rFonts w:hint="eastAsia"/>
        </w:rPr>
        <w:t>冬季工况</w:t>
      </w:r>
      <w:r>
        <w:tab/>
      </w:r>
      <w:r>
        <w:fldChar w:fldCharType="begin"/>
      </w:r>
      <w:r>
        <w:instrText xml:space="preserve"> PAGEREF _Toc58514242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"_Toc58514243" </w:instrText>
      </w:r>
      <w:r>
        <w:fldChar w:fldCharType="separate"/>
      </w:r>
      <w:r>
        <w:rPr>
          <w:rStyle w:val="26"/>
          <w:lang w:val="en-GB"/>
        </w:rPr>
        <w:t>5.2.1</w:t>
      </w:r>
      <w:r>
        <w:rPr>
          <w:rFonts w:asciiTheme="minorHAnsi" w:hAnsiTheme="minorHAnsi" w:eastAsiaTheme="minorEastAsia" w:cstheme="minorBidi"/>
          <w:szCs w:val="22"/>
        </w:rPr>
        <w:tab/>
      </w:r>
      <w:r>
        <w:rPr>
          <w:rStyle w:val="26"/>
          <w:rFonts w:hint="eastAsia"/>
        </w:rPr>
        <w:t>风速达标分析</w:t>
      </w:r>
      <w:r>
        <w:tab/>
      </w:r>
      <w:r>
        <w:fldChar w:fldCharType="begin"/>
      </w:r>
      <w:r>
        <w:instrText xml:space="preserve"> PAGEREF _Toc58514243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"_Toc58514244" </w:instrText>
      </w:r>
      <w:r>
        <w:fldChar w:fldCharType="separate"/>
      </w:r>
      <w:r>
        <w:rPr>
          <w:rStyle w:val="26"/>
          <w:lang w:val="en-GB"/>
        </w:rPr>
        <w:t>5.2.2</w:t>
      </w:r>
      <w:r>
        <w:rPr>
          <w:rFonts w:asciiTheme="minorHAnsi" w:hAnsiTheme="minorHAnsi" w:eastAsiaTheme="minorEastAsia" w:cstheme="minorBidi"/>
          <w:szCs w:val="22"/>
        </w:rPr>
        <w:tab/>
      </w:r>
      <w:r>
        <w:rPr>
          <w:rStyle w:val="26"/>
          <w:rFonts w:hint="eastAsia"/>
        </w:rPr>
        <w:t>风速放大系数达标分析</w:t>
      </w:r>
      <w:r>
        <w:tab/>
      </w:r>
      <w:r>
        <w:fldChar w:fldCharType="begin"/>
      </w:r>
      <w:r>
        <w:instrText xml:space="preserve"> PAGEREF _Toc58514244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"_Toc58514245" </w:instrText>
      </w:r>
      <w:r>
        <w:fldChar w:fldCharType="separate"/>
      </w:r>
      <w:r>
        <w:rPr>
          <w:rStyle w:val="26"/>
          <w:lang w:val="en-GB"/>
        </w:rPr>
        <w:t>5.2.3</w:t>
      </w:r>
      <w:r>
        <w:rPr>
          <w:rFonts w:asciiTheme="minorHAnsi" w:hAnsiTheme="minorHAnsi" w:eastAsiaTheme="minorEastAsia" w:cstheme="minorBidi"/>
          <w:szCs w:val="22"/>
        </w:rPr>
        <w:tab/>
      </w:r>
      <w:r>
        <w:rPr>
          <w:rStyle w:val="26"/>
          <w:rFonts w:hint="eastAsia" w:cs="宋体"/>
          <w:lang w:val="en-GB"/>
        </w:rPr>
        <w:t>人行区域</w:t>
      </w:r>
      <w:r>
        <w:rPr>
          <w:rStyle w:val="26"/>
          <w:rFonts w:hint="eastAsia"/>
        </w:rPr>
        <w:t>冬季工况风速</w:t>
      </w:r>
      <w:r>
        <w:rPr>
          <w:rStyle w:val="26"/>
        </w:rPr>
        <w:t>/</w:t>
      </w:r>
      <w:r>
        <w:rPr>
          <w:rStyle w:val="26"/>
          <w:rFonts w:hint="eastAsia"/>
        </w:rPr>
        <w:t>风速放大系数达标判定</w:t>
      </w:r>
      <w:r>
        <w:tab/>
      </w:r>
      <w:r>
        <w:fldChar w:fldCharType="begin"/>
      </w:r>
      <w:r>
        <w:instrText xml:space="preserve"> PAGEREF _Toc58514245 \h </w:instrText>
      </w:r>
      <w:r>
        <w:fldChar w:fldCharType="separate"/>
      </w:r>
      <w:r>
        <w:t>17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"_Toc58514246" </w:instrText>
      </w:r>
      <w:r>
        <w:fldChar w:fldCharType="separate"/>
      </w:r>
      <w:r>
        <w:rPr>
          <w:rStyle w:val="26"/>
          <w:lang w:val="en-GB"/>
        </w:rPr>
        <w:t>5.2.4</w:t>
      </w:r>
      <w:r>
        <w:rPr>
          <w:rFonts w:asciiTheme="minorHAnsi" w:hAnsiTheme="minorHAnsi" w:eastAsiaTheme="minorEastAsia" w:cstheme="minorBidi"/>
          <w:szCs w:val="22"/>
        </w:rPr>
        <w:tab/>
      </w:r>
      <w:r>
        <w:rPr>
          <w:rStyle w:val="26"/>
          <w:rFonts w:hint="eastAsia"/>
        </w:rPr>
        <w:t>建筑迎风面和背风面风压分析</w:t>
      </w:r>
      <w:r>
        <w:tab/>
      </w:r>
      <w:r>
        <w:fldChar w:fldCharType="begin"/>
      </w:r>
      <w:r>
        <w:instrText xml:space="preserve"> PAGEREF _Toc58514246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"_Toc58514247" </w:instrText>
      </w:r>
      <w:r>
        <w:fldChar w:fldCharType="separate"/>
      </w:r>
      <w:r>
        <w:rPr>
          <w:rStyle w:val="26"/>
          <w:lang w:val="en-GB"/>
        </w:rPr>
        <w:t>5.3</w:t>
      </w:r>
      <w:r>
        <w:rPr>
          <w:rFonts w:asciiTheme="minorHAnsi" w:hAnsiTheme="minorHAnsi" w:eastAsiaTheme="minorEastAsia" w:cstheme="minorBidi"/>
          <w:szCs w:val="22"/>
        </w:rPr>
        <w:tab/>
      </w:r>
      <w:r>
        <w:rPr>
          <w:rStyle w:val="26"/>
          <w:rFonts w:hint="eastAsia"/>
        </w:rPr>
        <w:t>夏季工况</w:t>
      </w:r>
      <w:r>
        <w:tab/>
      </w:r>
      <w:r>
        <w:fldChar w:fldCharType="begin"/>
      </w:r>
      <w:r>
        <w:instrText xml:space="preserve"> PAGEREF _Toc58514247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"_Toc58514248" </w:instrText>
      </w:r>
      <w:r>
        <w:fldChar w:fldCharType="separate"/>
      </w:r>
      <w:r>
        <w:rPr>
          <w:rStyle w:val="26"/>
          <w:lang w:val="en-GB"/>
        </w:rPr>
        <w:t>5.3.1</w:t>
      </w:r>
      <w:r>
        <w:rPr>
          <w:rFonts w:asciiTheme="minorHAnsi" w:hAnsiTheme="minorHAnsi" w:eastAsiaTheme="minorEastAsia" w:cstheme="minorBidi"/>
          <w:szCs w:val="22"/>
        </w:rPr>
        <w:tab/>
      </w:r>
      <w:r>
        <w:rPr>
          <w:rStyle w:val="26"/>
          <w:rFonts w:hint="eastAsia"/>
        </w:rPr>
        <w:t>无风区计算分析</w:t>
      </w:r>
      <w:r>
        <w:tab/>
      </w:r>
      <w:r>
        <w:fldChar w:fldCharType="begin"/>
      </w:r>
      <w:r>
        <w:instrText xml:space="preserve"> PAGEREF _Toc58514248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"_Toc58514249" </w:instrText>
      </w:r>
      <w:r>
        <w:fldChar w:fldCharType="separate"/>
      </w:r>
      <w:r>
        <w:rPr>
          <w:rStyle w:val="26"/>
          <w:lang w:val="en-GB"/>
        </w:rPr>
        <w:t>5.3.2</w:t>
      </w:r>
      <w:r>
        <w:rPr>
          <w:rFonts w:asciiTheme="minorHAnsi" w:hAnsiTheme="minorHAnsi" w:eastAsiaTheme="minorEastAsia" w:cstheme="minorBidi"/>
          <w:szCs w:val="22"/>
        </w:rPr>
        <w:tab/>
      </w:r>
      <w:r>
        <w:rPr>
          <w:rStyle w:val="26"/>
          <w:rFonts w:hint="eastAsia"/>
        </w:rPr>
        <w:t>旋涡区分析</w:t>
      </w:r>
      <w:r>
        <w:tab/>
      </w:r>
      <w:r>
        <w:fldChar w:fldCharType="begin"/>
      </w:r>
      <w:r>
        <w:instrText xml:space="preserve"> PAGEREF _Toc58514249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"_Toc58514250" </w:instrText>
      </w:r>
      <w:r>
        <w:fldChar w:fldCharType="separate"/>
      </w:r>
      <w:r>
        <w:rPr>
          <w:rStyle w:val="26"/>
          <w:lang w:val="en-GB"/>
        </w:rPr>
        <w:t>5.3.3</w:t>
      </w:r>
      <w:r>
        <w:rPr>
          <w:rFonts w:asciiTheme="minorHAnsi" w:hAnsiTheme="minorHAnsi" w:eastAsiaTheme="minorEastAsia" w:cstheme="minorBidi"/>
          <w:szCs w:val="22"/>
        </w:rPr>
        <w:tab/>
      </w:r>
      <w:r>
        <w:rPr>
          <w:rStyle w:val="26"/>
          <w:rFonts w:hint="eastAsia"/>
        </w:rPr>
        <w:t>人行区域旋涡区</w:t>
      </w:r>
      <w:r>
        <w:rPr>
          <w:rStyle w:val="26"/>
        </w:rPr>
        <w:t>/</w:t>
      </w:r>
      <w:r>
        <w:rPr>
          <w:rStyle w:val="26"/>
          <w:rFonts w:hint="eastAsia"/>
        </w:rPr>
        <w:t>无风区达标判定</w:t>
      </w:r>
      <w:r>
        <w:tab/>
      </w:r>
      <w:r>
        <w:fldChar w:fldCharType="begin"/>
      </w:r>
      <w:r>
        <w:instrText xml:space="preserve"> PAGEREF _Toc58514250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"_Toc58514251" </w:instrText>
      </w:r>
      <w:r>
        <w:fldChar w:fldCharType="separate"/>
      </w:r>
      <w:r>
        <w:rPr>
          <w:rStyle w:val="26"/>
          <w:lang w:val="en-GB"/>
        </w:rPr>
        <w:t>5.3.4</w:t>
      </w:r>
      <w:r>
        <w:rPr>
          <w:rFonts w:asciiTheme="minorHAnsi" w:hAnsiTheme="minorHAnsi" w:eastAsiaTheme="minorEastAsia" w:cstheme="minorBidi"/>
          <w:szCs w:val="22"/>
        </w:rPr>
        <w:tab/>
      </w:r>
      <w:r>
        <w:rPr>
          <w:rStyle w:val="26"/>
          <w:rFonts w:hint="eastAsia"/>
        </w:rPr>
        <w:t>外窗内外表面风压差达标分析</w:t>
      </w:r>
      <w:r>
        <w:tab/>
      </w:r>
      <w:r>
        <w:fldChar w:fldCharType="begin"/>
      </w:r>
      <w:r>
        <w:instrText xml:space="preserve"> PAGEREF _Toc58514251 \h </w:instrText>
      </w:r>
      <w:r>
        <w:fldChar w:fldCharType="separate"/>
      </w:r>
      <w:r>
        <w:t>22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"_Toc58514252" </w:instrText>
      </w:r>
      <w:r>
        <w:fldChar w:fldCharType="separate"/>
      </w:r>
      <w:r>
        <w:rPr>
          <w:rStyle w:val="26"/>
          <w:lang w:val="en-GB"/>
        </w:rPr>
        <w:t>5.4</w:t>
      </w:r>
      <w:r>
        <w:rPr>
          <w:rFonts w:asciiTheme="minorHAnsi" w:hAnsiTheme="minorHAnsi" w:eastAsiaTheme="minorEastAsia" w:cstheme="minorBidi"/>
          <w:szCs w:val="22"/>
        </w:rPr>
        <w:tab/>
      </w:r>
      <w:r>
        <w:rPr>
          <w:rStyle w:val="26"/>
          <w:rFonts w:hint="eastAsia"/>
        </w:rPr>
        <w:t>过渡季工况</w:t>
      </w:r>
      <w:r>
        <w:tab/>
      </w:r>
      <w:r>
        <w:fldChar w:fldCharType="begin"/>
      </w:r>
      <w:r>
        <w:instrText xml:space="preserve"> PAGEREF _Toc58514252 \h </w:instrText>
      </w:r>
      <w:r>
        <w:fldChar w:fldCharType="separate"/>
      </w:r>
      <w:r>
        <w:t>23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"_Toc58514253" </w:instrText>
      </w:r>
      <w:r>
        <w:fldChar w:fldCharType="separate"/>
      </w:r>
      <w:r>
        <w:rPr>
          <w:rStyle w:val="26"/>
          <w:lang w:val="en-GB"/>
        </w:rPr>
        <w:t>5.4.1</w:t>
      </w:r>
      <w:r>
        <w:rPr>
          <w:rFonts w:asciiTheme="minorHAnsi" w:hAnsiTheme="minorHAnsi" w:eastAsiaTheme="minorEastAsia" w:cstheme="minorBidi"/>
          <w:szCs w:val="22"/>
        </w:rPr>
        <w:tab/>
      </w:r>
      <w:r>
        <w:rPr>
          <w:rStyle w:val="26"/>
          <w:rFonts w:hint="eastAsia"/>
        </w:rPr>
        <w:t>无风区计算分析</w:t>
      </w:r>
      <w:r>
        <w:tab/>
      </w:r>
      <w:r>
        <w:fldChar w:fldCharType="begin"/>
      </w:r>
      <w:r>
        <w:instrText xml:space="preserve"> PAGEREF _Toc58514253 \h </w:instrText>
      </w:r>
      <w:r>
        <w:fldChar w:fldCharType="separate"/>
      </w:r>
      <w:r>
        <w:t>23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"_Toc58514254" </w:instrText>
      </w:r>
      <w:r>
        <w:fldChar w:fldCharType="separate"/>
      </w:r>
      <w:r>
        <w:rPr>
          <w:rStyle w:val="26"/>
          <w:lang w:val="en-GB"/>
        </w:rPr>
        <w:t>5.4.2</w:t>
      </w:r>
      <w:r>
        <w:rPr>
          <w:rFonts w:asciiTheme="minorHAnsi" w:hAnsiTheme="minorHAnsi" w:eastAsiaTheme="minorEastAsia" w:cstheme="minorBidi"/>
          <w:szCs w:val="22"/>
        </w:rPr>
        <w:tab/>
      </w:r>
      <w:r>
        <w:rPr>
          <w:rStyle w:val="26"/>
          <w:rFonts w:hint="eastAsia"/>
        </w:rPr>
        <w:t>旋涡区分析</w:t>
      </w:r>
      <w:r>
        <w:tab/>
      </w:r>
      <w:r>
        <w:fldChar w:fldCharType="begin"/>
      </w:r>
      <w:r>
        <w:instrText xml:space="preserve"> PAGEREF _Toc58514254 \h </w:instrText>
      </w:r>
      <w:r>
        <w:fldChar w:fldCharType="separate"/>
      </w:r>
      <w:r>
        <w:t>24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"_Toc58514255" </w:instrText>
      </w:r>
      <w:r>
        <w:fldChar w:fldCharType="separate"/>
      </w:r>
      <w:r>
        <w:rPr>
          <w:rStyle w:val="26"/>
          <w:lang w:val="en-GB"/>
        </w:rPr>
        <w:t>5.4.3</w:t>
      </w:r>
      <w:r>
        <w:rPr>
          <w:rFonts w:asciiTheme="minorHAnsi" w:hAnsiTheme="minorHAnsi" w:eastAsiaTheme="minorEastAsia" w:cstheme="minorBidi"/>
          <w:szCs w:val="22"/>
        </w:rPr>
        <w:tab/>
      </w:r>
      <w:r>
        <w:rPr>
          <w:rStyle w:val="26"/>
          <w:rFonts w:hint="eastAsia"/>
        </w:rPr>
        <w:t>人行区域旋涡区</w:t>
      </w:r>
      <w:r>
        <w:rPr>
          <w:rStyle w:val="26"/>
        </w:rPr>
        <w:t>/</w:t>
      </w:r>
      <w:r>
        <w:rPr>
          <w:rStyle w:val="26"/>
          <w:rFonts w:hint="eastAsia"/>
        </w:rPr>
        <w:t>无风区达标判定</w:t>
      </w:r>
      <w:r>
        <w:tab/>
      </w:r>
      <w:r>
        <w:fldChar w:fldCharType="begin"/>
      </w:r>
      <w:r>
        <w:instrText xml:space="preserve"> PAGEREF _Toc58514255 \h </w:instrText>
      </w:r>
      <w:r>
        <w:fldChar w:fldCharType="separate"/>
      </w:r>
      <w:r>
        <w:t>24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"_Toc58514256" </w:instrText>
      </w:r>
      <w:r>
        <w:fldChar w:fldCharType="separate"/>
      </w:r>
      <w:r>
        <w:rPr>
          <w:rStyle w:val="26"/>
          <w:lang w:val="en-GB"/>
        </w:rPr>
        <w:t>5.4.4</w:t>
      </w:r>
      <w:r>
        <w:rPr>
          <w:rFonts w:asciiTheme="minorHAnsi" w:hAnsiTheme="minorHAnsi" w:eastAsiaTheme="minorEastAsia" w:cstheme="minorBidi"/>
          <w:szCs w:val="22"/>
        </w:rPr>
        <w:tab/>
      </w:r>
      <w:r>
        <w:rPr>
          <w:rStyle w:val="26"/>
          <w:rFonts w:hint="eastAsia"/>
        </w:rPr>
        <w:t>外窗内外表面风压差达标分析</w:t>
      </w:r>
      <w:r>
        <w:tab/>
      </w:r>
      <w:r>
        <w:fldChar w:fldCharType="begin"/>
      </w:r>
      <w:r>
        <w:instrText xml:space="preserve"> PAGEREF _Toc58514256 \h </w:instrText>
      </w:r>
      <w:r>
        <w:fldChar w:fldCharType="separate"/>
      </w:r>
      <w:r>
        <w:t>25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"_Toc58514257" </w:instrText>
      </w:r>
      <w:r>
        <w:fldChar w:fldCharType="separate"/>
      </w:r>
      <w:r>
        <w:rPr>
          <w:rStyle w:val="26"/>
          <w:lang w:val="en-GB"/>
        </w:rPr>
        <w:t>5.5</w:t>
      </w:r>
      <w:r>
        <w:rPr>
          <w:rFonts w:asciiTheme="minorHAnsi" w:hAnsiTheme="minorHAnsi" w:eastAsiaTheme="minorEastAsia" w:cstheme="minorBidi"/>
          <w:szCs w:val="22"/>
        </w:rPr>
        <w:tab/>
      </w:r>
      <w:r>
        <w:rPr>
          <w:rStyle w:val="26"/>
          <w:rFonts w:hint="eastAsia"/>
        </w:rPr>
        <w:t>结论</w:t>
      </w:r>
      <w:r>
        <w:tab/>
      </w:r>
      <w:r>
        <w:fldChar w:fldCharType="begin"/>
      </w:r>
      <w:r>
        <w:instrText xml:space="preserve"> PAGEREF _Toc58514257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"_Toc58514258" </w:instrText>
      </w:r>
      <w:r>
        <w:fldChar w:fldCharType="separate"/>
      </w:r>
      <w:r>
        <w:rPr>
          <w:rStyle w:val="26"/>
          <w:lang w:val="en-GB"/>
        </w:rPr>
        <w:t>5.5.1</w:t>
      </w:r>
      <w:r>
        <w:rPr>
          <w:rFonts w:asciiTheme="minorHAnsi" w:hAnsiTheme="minorHAnsi" w:eastAsiaTheme="minorEastAsia" w:cstheme="minorBidi"/>
          <w:szCs w:val="22"/>
        </w:rPr>
        <w:tab/>
      </w:r>
      <w:r>
        <w:rPr>
          <w:rStyle w:val="26"/>
          <w:rFonts w:hint="eastAsia"/>
        </w:rPr>
        <w:t>冬季工况达标判断</w:t>
      </w:r>
      <w:r>
        <w:tab/>
      </w:r>
      <w:r>
        <w:fldChar w:fldCharType="begin"/>
      </w:r>
      <w:r>
        <w:instrText xml:space="preserve"> PAGEREF _Toc58514258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"_Toc58514259" </w:instrText>
      </w:r>
      <w:r>
        <w:fldChar w:fldCharType="separate"/>
      </w:r>
      <w:r>
        <w:rPr>
          <w:rStyle w:val="26"/>
          <w:lang w:val="en-GB"/>
        </w:rPr>
        <w:t>5.5.2</w:t>
      </w:r>
      <w:r>
        <w:rPr>
          <w:rFonts w:asciiTheme="minorHAnsi" w:hAnsiTheme="minorHAnsi" w:eastAsiaTheme="minorEastAsia" w:cstheme="minorBidi"/>
          <w:szCs w:val="22"/>
        </w:rPr>
        <w:tab/>
      </w:r>
      <w:r>
        <w:rPr>
          <w:rStyle w:val="26"/>
          <w:rFonts w:hint="eastAsia"/>
        </w:rPr>
        <w:t>过渡季、夏季工况达标判断</w:t>
      </w:r>
      <w:r>
        <w:tab/>
      </w:r>
      <w:r>
        <w:fldChar w:fldCharType="begin"/>
      </w:r>
      <w:r>
        <w:instrText xml:space="preserve"> PAGEREF _Toc58514259 \h </w:instrText>
      </w:r>
      <w:r>
        <w:fldChar w:fldCharType="separate"/>
      </w:r>
      <w:r>
        <w:t>26</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7" w:name="_Toc58514223"/>
      <w:bookmarkStart w:id="8" w:name="_Toc452108759"/>
      <w:r>
        <w:rPr>
          <w:rFonts w:hint="eastAsia"/>
        </w:rPr>
        <w:t>项目概况</w:t>
      </w:r>
      <w:bookmarkEnd w:id="7"/>
      <w:bookmarkEnd w:id="8"/>
    </w:p>
    <w:p>
      <w:pPr>
        <w:pStyle w:val="3"/>
        <w:ind w:firstLine="420"/>
        <w:rPr>
          <w:lang w:val="en-US"/>
        </w:rPr>
      </w:pPr>
      <w:bookmarkStart w:id="9" w:name="项目概况"/>
      <w:bookmarkEnd w:id="9"/>
    </w:p>
    <w:p>
      <w:pPr>
        <w:pStyle w:val="3"/>
        <w:ind w:firstLine="420"/>
        <w:rPr>
          <w:lang w:val="en-US"/>
        </w:rPr>
      </w:pPr>
    </w:p>
    <w:p>
      <w:pPr>
        <w:pStyle w:val="3"/>
        <w:ind w:firstLine="420"/>
        <w:rPr>
          <w:lang w:val="en-US"/>
        </w:rPr>
      </w:pP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37"/>
        <w:gridCol w:w="3450"/>
        <w:gridCol w:w="3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bookmarkStart w:id="10" w:name="建筑概况表"/>
            <w:r>
              <w:rPr>
                <w:rFonts w:hint="eastAsia" w:ascii="宋体" w:hAnsi="宋体"/>
                <w:lang w:val="en-US"/>
              </w:rPr>
              <w:t>工程名称</w:t>
            </w:r>
          </w:p>
        </w:tc>
        <w:tc>
          <w:tcPr>
            <w:tcW w:w="6073" w:type="dxa"/>
            <w:gridSpan w:val="2"/>
            <w:noWrap w:val="0"/>
            <w:vAlign w:val="top"/>
          </w:tcPr>
          <w:p>
            <w:pPr>
              <w:pStyle w:val="3"/>
              <w:ind w:firstLine="0" w:firstLineChars="0"/>
              <w:rPr>
                <w:rFonts w:ascii="宋体" w:hAnsi="宋体"/>
                <w:lang w:val="en-US"/>
              </w:rPr>
            </w:pPr>
            <w:r>
              <w:rPr>
                <w:rFonts w:hint="eastAsia"/>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工程地点</w:t>
            </w:r>
          </w:p>
        </w:tc>
        <w:tc>
          <w:tcPr>
            <w:tcW w:w="6073" w:type="dxa"/>
            <w:gridSpan w:val="2"/>
            <w:noWrap w:val="0"/>
            <w:vAlign w:val="top"/>
          </w:tcPr>
          <w:p>
            <w:pPr>
              <w:pStyle w:val="3"/>
              <w:ind w:firstLine="0" w:firstLineChars="0"/>
              <w:rPr>
                <w:rFonts w:ascii="宋体" w:hAnsi="宋体"/>
                <w:lang w:val="en-US"/>
              </w:rPr>
            </w:pPr>
            <w:bookmarkStart w:id="11" w:name="工程地点"/>
            <w:r>
              <w:t>重庆-重庆</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地理位置</w:t>
            </w:r>
          </w:p>
        </w:tc>
        <w:tc>
          <w:tcPr>
            <w:tcW w:w="3034" w:type="dxa"/>
            <w:noWrap w:val="0"/>
            <w:vAlign w:val="top"/>
          </w:tcPr>
          <w:p>
            <w:pPr>
              <w:pStyle w:val="3"/>
              <w:ind w:firstLine="0" w:firstLineChars="0"/>
              <w:rPr>
                <w:rFonts w:ascii="宋体" w:hAnsi="宋体"/>
                <w:lang w:val="en-US"/>
              </w:rPr>
            </w:pPr>
            <w:r>
              <w:rPr>
                <w:rFonts w:hint="eastAsia" w:ascii="宋体" w:hAnsi="宋体"/>
                <w:lang w:val="en-US"/>
              </w:rPr>
              <w:t>北纬：</w:t>
            </w:r>
            <w:bookmarkStart w:id="12" w:name="纬度"/>
            <w:r>
              <w:rPr>
                <w:rFonts w:hint="eastAsia" w:ascii="宋体" w:hAnsi="宋体"/>
                <w:lang w:val="en-US"/>
              </w:rPr>
              <w:t>29.58</w:t>
            </w:r>
            <w:bookmarkEnd w:id="12"/>
            <w:r>
              <w:rPr>
                <w:rFonts w:hint="eastAsia" w:ascii="宋体" w:hAnsi="宋体"/>
                <w:lang w:val="en-US"/>
              </w:rPr>
              <w:t>°</w:t>
            </w:r>
          </w:p>
        </w:tc>
        <w:tc>
          <w:tcPr>
            <w:tcW w:w="3039" w:type="dxa"/>
            <w:noWrap w:val="0"/>
            <w:vAlign w:val="top"/>
          </w:tcPr>
          <w:p>
            <w:pPr>
              <w:pStyle w:val="3"/>
              <w:ind w:firstLine="0" w:firstLineChars="0"/>
              <w:rPr>
                <w:rFonts w:ascii="宋体" w:hAnsi="宋体"/>
                <w:lang w:val="en-US"/>
              </w:rPr>
            </w:pPr>
            <w:r>
              <w:rPr>
                <w:rFonts w:hint="eastAsia" w:ascii="宋体" w:hAnsi="宋体"/>
                <w:lang w:val="en-US"/>
              </w:rPr>
              <w:t>东经：</w:t>
            </w:r>
            <w:bookmarkStart w:id="13" w:name="经度"/>
            <w:r>
              <w:rPr>
                <w:rFonts w:hint="eastAsia" w:ascii="宋体" w:hAnsi="宋体"/>
                <w:lang w:val="en-US"/>
              </w:rPr>
              <w:t>106.47</w:t>
            </w:r>
            <w:bookmarkEnd w:id="13"/>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建筑面积</w:t>
            </w:r>
          </w:p>
        </w:tc>
        <w:tc>
          <w:tcPr>
            <w:tcW w:w="6073" w:type="dxa"/>
            <w:gridSpan w:val="2"/>
            <w:noWrap w:val="0"/>
            <w:vAlign w:val="top"/>
          </w:tcPr>
          <w:p>
            <w:pPr>
              <w:pStyle w:val="3"/>
              <w:ind w:firstLine="0" w:firstLineChars="0"/>
              <w:rPr>
                <w:rFonts w:ascii="宋体" w:hAnsi="宋体"/>
                <w:lang w:val="en-US"/>
              </w:rPr>
            </w:pPr>
            <w:r>
              <w:rPr>
                <w:rFonts w:hint="eastAsia" w:ascii="宋体" w:hAnsi="宋体"/>
                <w:lang w:val="en-US"/>
              </w:rPr>
              <w:t>地上</w:t>
            </w:r>
            <w:r>
              <w:rPr>
                <w:rFonts w:ascii="宋体" w:hAnsi="宋体"/>
                <w:lang w:val="en-US"/>
              </w:rPr>
              <w:t>107546.28</w:t>
            </w:r>
            <w:r>
              <w:rPr>
                <w:rFonts w:hint="eastAsia" w:ascii="宋体" w:hAnsi="宋体"/>
              </w:rPr>
              <w:t>㎡</w:t>
            </w:r>
            <w:r>
              <w:rPr>
                <w:rFonts w:hint="eastAsia" w:ascii="宋体" w:hAnsi="宋体"/>
                <w:lang w:val="en-US"/>
              </w:rPr>
              <w:t xml:space="preserve">    地下</w:t>
            </w:r>
            <w:bookmarkStart w:id="14" w:name="地下建筑面积"/>
            <w:r>
              <w:rPr>
                <w:rFonts w:hint="eastAsia" w:ascii="宋体" w:hAnsi="宋体"/>
                <w:lang w:val="en-US"/>
              </w:rPr>
              <w:t>0</w:t>
            </w:r>
            <w:bookmarkEnd w:id="14"/>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建筑层数</w:t>
            </w:r>
          </w:p>
        </w:tc>
        <w:tc>
          <w:tcPr>
            <w:tcW w:w="6073" w:type="dxa"/>
            <w:gridSpan w:val="2"/>
            <w:noWrap w:val="0"/>
            <w:vAlign w:val="top"/>
          </w:tcPr>
          <w:p>
            <w:pPr>
              <w:pStyle w:val="3"/>
              <w:ind w:firstLine="0" w:firstLineChars="0"/>
              <w:rPr>
                <w:rFonts w:ascii="宋体" w:hAnsi="宋体"/>
                <w:lang w:val="en-US"/>
              </w:rPr>
            </w:pPr>
            <w:r>
              <w:rPr>
                <w:rFonts w:hint="eastAsia" w:ascii="宋体" w:hAnsi="宋体"/>
                <w:lang w:val="en-US"/>
              </w:rPr>
              <w:t>地上</w:t>
            </w:r>
            <w:r>
              <w:rPr>
                <w:rFonts w:ascii="宋体" w:hAnsi="宋体"/>
                <w:lang w:val="en-US"/>
              </w:rPr>
              <w:t>22</w:t>
            </w:r>
            <w:r>
              <w:rPr>
                <w:rFonts w:hint="eastAsia" w:ascii="宋体" w:hAnsi="宋体"/>
                <w:lang w:val="en-US"/>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建筑高度</w:t>
            </w:r>
          </w:p>
        </w:tc>
        <w:tc>
          <w:tcPr>
            <w:tcW w:w="6073" w:type="dxa"/>
            <w:gridSpan w:val="2"/>
            <w:noWrap w:val="0"/>
            <w:vAlign w:val="top"/>
          </w:tcPr>
          <w:p>
            <w:pPr>
              <w:pStyle w:val="3"/>
              <w:ind w:firstLine="0" w:firstLineChars="0"/>
              <w:rPr>
                <w:rFonts w:ascii="宋体" w:hAnsi="宋体"/>
                <w:lang w:val="en-US"/>
              </w:rPr>
            </w:pPr>
            <w:bookmarkStart w:id="16" w:name="地上建筑高度"/>
            <w:r>
              <w:rPr>
                <w:rFonts w:ascii="宋体" w:hAnsi="宋体"/>
                <w:lang w:val="en-US"/>
              </w:rPr>
              <w:t>93</w:t>
            </w:r>
            <w:r>
              <w:rPr>
                <w:rFonts w:hint="eastAsia" w:ascii="宋体" w:hAnsi="宋体"/>
                <w:lang w:val="en-US"/>
              </w:rPr>
              <w:t>.0</w:t>
            </w:r>
            <w:bookmarkEnd w:id="16"/>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建筑（节能计算）体积</w:t>
            </w:r>
          </w:p>
        </w:tc>
        <w:tc>
          <w:tcPr>
            <w:tcW w:w="6073" w:type="dxa"/>
            <w:gridSpan w:val="2"/>
            <w:noWrap w:val="0"/>
            <w:vAlign w:val="top"/>
          </w:tcPr>
          <w:p>
            <w:pPr>
              <w:pStyle w:val="3"/>
              <w:ind w:firstLine="0" w:firstLineChars="0"/>
              <w:rPr>
                <w:rFonts w:ascii="宋体" w:hAnsi="宋体"/>
                <w:lang w:val="en-US"/>
              </w:rPr>
            </w:pPr>
            <w:r>
              <w:t>459985.01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建筑（节能计算）外表面积</w:t>
            </w:r>
          </w:p>
        </w:tc>
        <w:tc>
          <w:tcPr>
            <w:tcW w:w="6073" w:type="dxa"/>
            <w:gridSpan w:val="2"/>
            <w:noWrap w:val="0"/>
            <w:vAlign w:val="top"/>
          </w:tcPr>
          <w:p>
            <w:pPr>
              <w:pStyle w:val="3"/>
              <w:ind w:firstLine="0" w:firstLineChars="0"/>
              <w:rPr>
                <w:rFonts w:ascii="宋体" w:hAnsi="宋体"/>
                <w:lang w:val="en-US"/>
              </w:rPr>
            </w:pPr>
            <w:r>
              <w:t>53283.56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北向</w:t>
            </w:r>
            <w:r>
              <w:rPr>
                <w:rFonts w:ascii="宋体" w:hAnsi="宋体"/>
                <w:lang w:val="en-US"/>
              </w:rPr>
              <w:t>角度</w:t>
            </w:r>
          </w:p>
        </w:tc>
        <w:tc>
          <w:tcPr>
            <w:tcW w:w="6073" w:type="dxa"/>
            <w:gridSpan w:val="2"/>
            <w:noWrap w:val="0"/>
            <w:vAlign w:val="top"/>
          </w:tcPr>
          <w:p>
            <w:pPr>
              <w:pStyle w:val="3"/>
              <w:ind w:firstLine="0" w:firstLineChars="0"/>
              <w:rPr>
                <w:rFonts w:ascii="宋体" w:hAnsi="宋体"/>
                <w:lang w:val="en-US"/>
              </w:rPr>
            </w:pPr>
            <w:r>
              <w:t>126.3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结构类型</w:t>
            </w:r>
          </w:p>
        </w:tc>
        <w:tc>
          <w:tcPr>
            <w:tcW w:w="6073" w:type="dxa"/>
            <w:gridSpan w:val="2"/>
            <w:noWrap w:val="0"/>
            <w:vAlign w:val="top"/>
          </w:tcPr>
          <w:p>
            <w:pPr>
              <w:pStyle w:val="3"/>
              <w:ind w:firstLine="0" w:firstLineChars="0"/>
              <w:rPr>
                <w:rFonts w:ascii="宋体" w:hAnsi="宋体"/>
                <w:lang w:val="en-US"/>
              </w:rPr>
            </w:pPr>
            <w:bookmarkStart w:id="17" w:name="结构类型"/>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外墙太阳辐射吸收系数</w:t>
            </w:r>
          </w:p>
        </w:tc>
        <w:tc>
          <w:tcPr>
            <w:tcW w:w="6073" w:type="dxa"/>
            <w:gridSpan w:val="2"/>
            <w:noWrap w:val="0"/>
            <w:vAlign w:val="top"/>
          </w:tcPr>
          <w:p>
            <w:pPr>
              <w:pStyle w:val="3"/>
              <w:ind w:firstLine="0" w:firstLineChars="0"/>
              <w:rPr>
                <w:rFonts w:ascii="宋体" w:hAnsi="宋体"/>
                <w:lang w:val="en-US"/>
              </w:rPr>
            </w:pPr>
            <w:bookmarkStart w:id="18" w:name="外墙ρ"/>
            <w:r>
              <w:rPr>
                <w:rFonts w:hint="eastAsia"/>
              </w:rPr>
              <w:t>0.</w:t>
            </w:r>
            <w:bookmarkEnd w:id="18"/>
            <w: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屋顶太阳辐射吸收系数</w:t>
            </w:r>
          </w:p>
        </w:tc>
        <w:tc>
          <w:tcPr>
            <w:tcW w:w="6073" w:type="dxa"/>
            <w:gridSpan w:val="2"/>
            <w:noWrap w:val="0"/>
            <w:vAlign w:val="top"/>
          </w:tcPr>
          <w:p>
            <w:pPr>
              <w:pStyle w:val="3"/>
              <w:ind w:firstLine="0" w:firstLineChars="0"/>
              <w:rPr>
                <w:rFonts w:ascii="宋体" w:hAnsi="宋体"/>
                <w:lang w:val="en-US"/>
              </w:rPr>
            </w:pPr>
            <w:bookmarkStart w:id="19" w:name="屋顶ρ"/>
            <w:r>
              <w:rPr>
                <w:rFonts w:hint="eastAsia"/>
              </w:rPr>
              <w:t>0.75</w:t>
            </w:r>
            <w:bookmarkEnd w:id="19"/>
          </w:p>
        </w:tc>
      </w:tr>
      <w:bookmarkEnd w:id="10"/>
    </w:tbl>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20" w:name="_Toc452108760"/>
      <w:bookmarkStart w:id="21" w:name="_Toc58514224"/>
      <w:r>
        <w:rPr>
          <w:rFonts w:hint="eastAsia"/>
        </w:rPr>
        <w:t>总</w:t>
      </w:r>
      <w:r>
        <w:t>平面图</w:t>
      </w:r>
      <w:bookmarkEnd w:id="20"/>
      <w:bookmarkEnd w:id="21"/>
    </w:p>
    <w:p>
      <w:pPr>
        <w:pStyle w:val="3"/>
        <w:ind w:firstLine="0" w:firstLineChars="0"/>
        <w:jc w:val="center"/>
        <w:rPr>
          <w:lang w:val="en-US"/>
        </w:rPr>
      </w:pPr>
      <w:r>
        <w:rPr>
          <w:rFonts w:hint="eastAsia"/>
          <w:lang w:val="en-US"/>
        </w:rPr>
        <w:t xml:space="preserve"> </w:t>
      </w:r>
      <w:bookmarkStart w:id="22" w:name="总平面图"/>
      <w:bookmarkEnd w:id="22"/>
      <w:r>
        <w:drawing>
          <wp:inline distT="0" distB="0" distL="114300" distR="114300">
            <wp:extent cx="5848350" cy="5429250"/>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a:stretch>
                      <a:fillRect/>
                    </a:stretch>
                  </pic:blipFill>
                  <pic:spPr>
                    <a:xfrm>
                      <a:off x="0" y="0"/>
                      <a:ext cx="5848350" cy="5429250"/>
                    </a:xfrm>
                    <a:prstGeom prst="rect">
                      <a:avLst/>
                    </a:prstGeom>
                    <a:noFill/>
                    <a:ln>
                      <a:noFill/>
                    </a:ln>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2"/>
      </w:pPr>
      <w:bookmarkStart w:id="23" w:name="TitleFormat"/>
      <w:bookmarkStart w:id="24" w:name="_Toc452108762"/>
      <w:bookmarkStart w:id="25" w:name="_Toc58514226"/>
      <w:r>
        <w:rPr>
          <w:rFonts w:hint="eastAsia"/>
        </w:rPr>
        <w:t>计算</w:t>
      </w:r>
      <w:r>
        <w:t>依据</w:t>
      </w:r>
      <w:bookmarkEnd w:id="23"/>
      <w:bookmarkEnd w:id="24"/>
      <w:bookmarkEnd w:id="25"/>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6" w:name="_Toc452108763"/>
      <w:bookmarkStart w:id="27" w:name="_Toc58514227"/>
      <w:r>
        <w:rPr>
          <w:rFonts w:hint="eastAsia"/>
        </w:rPr>
        <w:t>参考</w:t>
      </w:r>
      <w:r>
        <w:t>标准</w:t>
      </w:r>
      <w:bookmarkEnd w:id="26"/>
      <w:bookmarkEnd w:id="27"/>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8" w:name="_Toc452108764"/>
      <w:bookmarkStart w:id="29" w:name="_Toc451698935"/>
      <w:bookmarkStart w:id="30"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31" w:name="_Toc58514228"/>
      <w:r>
        <w:rPr>
          <w:rFonts w:hint="eastAsia"/>
        </w:rPr>
        <w:t>计算原理</w:t>
      </w:r>
      <w:bookmarkEnd w:id="28"/>
      <w:bookmarkEnd w:id="29"/>
      <w:bookmarkEnd w:id="31"/>
    </w:p>
    <w:p>
      <w:pPr>
        <w:pStyle w:val="4"/>
        <w:numPr>
          <w:ilvl w:val="1"/>
          <w:numId w:val="3"/>
        </w:numPr>
      </w:pPr>
      <w:bookmarkStart w:id="32" w:name="_Toc58514229"/>
      <w:bookmarkStart w:id="33" w:name="_Toc509844740"/>
      <w:bookmarkStart w:id="34" w:name="_Toc451698937"/>
      <w:bookmarkStart w:id="35" w:name="_Toc452108765"/>
      <w:r>
        <w:rPr>
          <w:rFonts w:hint="eastAsia"/>
        </w:rPr>
        <w:t>风场计算域</w:t>
      </w:r>
      <w:bookmarkEnd w:id="32"/>
      <w:bookmarkEnd w:id="33"/>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6" w:name="_Toc58514230"/>
      <w:r>
        <w:rPr>
          <w:rFonts w:hint="eastAsia"/>
        </w:rPr>
        <w:t>冬季工况风场计算域</w:t>
      </w:r>
      <w:bookmarkEnd w:id="36"/>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300</w:t>
            </w:r>
          </w:p>
        </w:tc>
      </w:tr>
    </w:tbl>
    <w:p>
      <w:pPr>
        <w:pStyle w:val="3"/>
        <w:ind w:firstLine="0" w:firstLineChars="0"/>
        <w:jc w:val="center"/>
        <w:rPr>
          <w:lang w:val="en-US"/>
        </w:rPr>
      </w:pPr>
    </w:p>
    <w:p>
      <w:pPr>
        <w:pStyle w:val="5"/>
        <w:numPr>
          <w:ilvl w:val="2"/>
          <w:numId w:val="3"/>
        </w:numPr>
      </w:pPr>
      <w:bookmarkStart w:id="37" w:name="_Toc58514231"/>
      <w:r>
        <w:rPr>
          <w:rFonts w:hint="eastAsia"/>
        </w:rPr>
        <w:t>夏季工况风场计算域</w:t>
      </w:r>
      <w:bookmarkEnd w:id="37"/>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300</w:t>
            </w:r>
          </w:p>
        </w:tc>
      </w:tr>
    </w:tbl>
    <w:p>
      <w:pPr>
        <w:pStyle w:val="5"/>
        <w:numPr>
          <w:ilvl w:val="2"/>
          <w:numId w:val="3"/>
        </w:numPr>
      </w:pPr>
      <w:bookmarkStart w:id="38" w:name="_Toc58514232"/>
      <w:r>
        <w:rPr>
          <w:rFonts w:hint="eastAsia"/>
        </w:rPr>
        <w:t>过渡季工况风场计算域</w:t>
      </w:r>
      <w:bookmarkEnd w:id="38"/>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9" w:name="冬季风场X尺寸"/>
            <w:r>
              <w:t>334</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0" w:name="冬季风场Y尺寸"/>
            <w:r>
              <w:t>290</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1" w:name="冬季风场Z尺寸"/>
            <w:r>
              <w:t>300</w:t>
            </w:r>
            <w:bookmarkEnd w:id="41"/>
          </w:p>
        </w:tc>
      </w:tr>
    </w:tbl>
    <w:p>
      <w:pPr>
        <w:pStyle w:val="3"/>
        <w:ind w:firstLine="420"/>
        <w:rPr>
          <w:rFonts w:ascii="黑体" w:hAnsi="黑体" w:eastAsia="黑体"/>
          <w:szCs w:val="20"/>
          <w:lang w:val="en-US"/>
        </w:rPr>
      </w:pPr>
      <w:bookmarkStart w:id="42" w:name="冬季工况风场计算域图示"/>
      <w:bookmarkEnd w:id="42"/>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3" w:name="_Toc509844741"/>
      <w:bookmarkStart w:id="44" w:name="_Toc58514233"/>
      <w:r>
        <w:rPr>
          <w:rFonts w:hint="eastAsia"/>
        </w:rPr>
        <w:t>网格划分</w:t>
      </w:r>
      <w:bookmarkEnd w:id="43"/>
      <w:bookmarkEnd w:id="44"/>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5" w:name="OLE_LINK277"/>
      <w:bookmarkStart w:id="46" w:name="OLE_LINK276"/>
      <w:r>
        <w:rPr>
          <w:rFonts w:hint="eastAsia"/>
        </w:rPr>
        <w:t>1）普通网格：指除靠近地面和建筑以外的网格，通常不需要特别加密处理</w:t>
      </w:r>
    </w:p>
    <w:p>
      <w:pPr>
        <w:pStyle w:val="12"/>
        <w:numPr>
          <w:ilvl w:val="0"/>
          <w:numId w:val="4"/>
        </w:numPr>
        <w:spacing w:before="156"/>
      </w:pPr>
      <w:bookmarkStart w:id="47" w:name="OLE_LINK15"/>
      <w:r>
        <w:rPr>
          <w:rFonts w:hint="eastAsia"/>
        </w:rPr>
        <w:t>分弧精度：对于有圆弧特征的建筑局部，把圆弧分解为线段时，弦到弧的最大距离；</w:t>
      </w:r>
    </w:p>
    <w:bookmarkEnd w:id="47"/>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5"/>
      <w:bookmarkEnd w:id="46"/>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717191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114300" distR="114300">
            <wp:extent cx="5534025" cy="6143625"/>
            <wp:effectExtent l="0" t="0" r="9525" b="952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1"/>
                    <a:stretch>
                      <a:fillRect/>
                    </a:stretch>
                  </pic:blipFill>
                  <pic:spPr>
                    <a:xfrm>
                      <a:off x="0" y="0"/>
                      <a:ext cx="5534025" cy="6143625"/>
                    </a:xfrm>
                    <a:prstGeom prst="rect">
                      <a:avLst/>
                    </a:prstGeom>
                    <a:noFill/>
                    <a:ln>
                      <a:noFill/>
                    </a:ln>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网格图-冬季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397432</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48" w:name="冬季网格总数"/>
            <w:r>
              <w:t>377280</w:t>
            </w:r>
            <w:bookmarkEnd w:id="48"/>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9" w:name="冬季分弧精度"/>
            <w:r>
              <w:t>0.24</w:t>
            </w:r>
            <w:bookmarkEnd w:id="4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0" w:name="冬季初始网格"/>
            <w:r>
              <w:t>8.0</w:t>
            </w:r>
            <w:bookmarkEnd w:id="5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1" w:name="冬季最小细分级数"/>
            <w:r>
              <w:t>1</w:t>
            </w:r>
            <w:bookmarkEnd w:id="5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2" w:name="冬季最大细分级数"/>
            <w:r>
              <w:t>2</w:t>
            </w:r>
            <w:bookmarkEnd w:id="5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3" w:name="冬季远场细分级数"/>
            <w:r>
              <w:t>1</w:t>
            </w:r>
            <w:bookmarkEnd w:id="5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4" w:name="冬季近场细分级数"/>
            <w:r>
              <w:t>2</w:t>
            </w:r>
            <w:bookmarkEnd w:id="5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地面附面层数"/>
            <w:r>
              <w:t>2</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建筑附面层数"/>
            <w:r>
              <w:t>0</w:t>
            </w:r>
            <w:bookmarkEnd w:id="56"/>
          </w:p>
        </w:tc>
      </w:tr>
    </w:tbl>
    <w:p>
      <w:pPr>
        <w:rPr>
          <w:szCs w:val="21"/>
          <w:lang w:val="en-US"/>
        </w:rPr>
      </w:pPr>
    </w:p>
    <w:p>
      <w:pPr>
        <w:pStyle w:val="3"/>
        <w:ind w:firstLine="630" w:firstLineChars="300"/>
        <w:rPr>
          <w:rFonts w:ascii="黑体" w:hAnsi="黑体" w:eastAsia="黑体"/>
          <w:szCs w:val="20"/>
          <w:lang w:val="en-US"/>
        </w:rPr>
      </w:pPr>
      <w:bookmarkStart w:id="57" w:name="网格划分信息"/>
      <w:bookmarkEnd w:id="57"/>
      <w:r>
        <w:rPr>
          <w:rFonts w:hint="eastAsia" w:ascii="黑体" w:hAnsi="黑体" w:eastAsia="黑体"/>
          <w:szCs w:val="20"/>
          <w:lang w:val="en-US"/>
        </w:rPr>
        <w:t>注：前述计算域随风向不同，所以相同的网格方案会产生不同的网格数量。</w:t>
      </w:r>
    </w:p>
    <w:p>
      <w:pPr>
        <w:pStyle w:val="3"/>
        <w:ind w:firstLine="0" w:firstLineChars="0"/>
        <w:rPr>
          <w:rFonts w:ascii="黑体" w:hAnsi="黑体" w:eastAsia="黑体"/>
          <w:szCs w:val="20"/>
          <w:lang w:val="en-US"/>
        </w:rPr>
      </w:pPr>
      <w:bookmarkStart w:id="58" w:name="网格图"/>
      <w:bookmarkEnd w:id="58"/>
    </w:p>
    <w:p>
      <w:pPr>
        <w:pStyle w:val="4"/>
        <w:numPr>
          <w:ilvl w:val="1"/>
          <w:numId w:val="3"/>
        </w:numPr>
      </w:pPr>
      <w:bookmarkStart w:id="59" w:name="_Toc509844742"/>
      <w:bookmarkStart w:id="60" w:name="_Toc58514234"/>
      <w:r>
        <w:rPr>
          <w:rFonts w:hint="eastAsia"/>
        </w:rPr>
        <w:t>边界条件</w:t>
      </w:r>
      <w:bookmarkEnd w:id="59"/>
      <w:bookmarkEnd w:id="60"/>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1" w:name="_Toc509844743"/>
      <w:bookmarkStart w:id="62" w:name="_Toc58514235"/>
      <w:r>
        <w:rPr>
          <w:rFonts w:hint="eastAsia"/>
        </w:rPr>
        <w:t>入口与出口边界条件</w:t>
      </w:r>
      <w:bookmarkEnd w:id="61"/>
      <w:bookmarkEnd w:id="62"/>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45pt;width:71.3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9pt;width:14.9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lang w:val="en-US"/>
        </w:rPr>
        <w:t>、</w:t>
      </w:r>
      <w:r>
        <w:rPr>
          <w:lang w:val="en-US"/>
        </w:rPr>
        <w:t xml:space="preserve"> </w:t>
      </w:r>
      <w:r>
        <w:rPr>
          <w:position w:val="-10"/>
          <w:lang w:val="en-US"/>
        </w:rPr>
        <w:object>
          <v:shape id="_x0000_i1027" o:spt="75" type="#_x0000_t75" style="height:19pt;width:14.2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3" w:name="地面粗糙度指数2"/>
      <w:r>
        <w:rPr>
          <w:rFonts w:hint="eastAsia"/>
          <w:lang w:val="en-US"/>
        </w:rPr>
        <w:t>0.28</w:t>
      </w:r>
      <w:bookmarkEnd w:id="63"/>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64" w:name="_Toc58514236"/>
      <w:bookmarkStart w:id="65" w:name="_Toc509844744"/>
      <w:r>
        <w:rPr>
          <w:rFonts w:hint="eastAsia"/>
        </w:rPr>
        <w:t>壁面边界条件</w:t>
      </w:r>
      <w:bookmarkEnd w:id="64"/>
      <w:bookmarkEnd w:id="65"/>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66" w:name="_Toc58514237"/>
      <w:r>
        <w:rPr>
          <w:rFonts w:hint="eastAsia"/>
        </w:rPr>
        <w:t>湍流模型</w:t>
      </w:r>
      <w:bookmarkEnd w:id="34"/>
      <w:bookmarkEnd w:id="35"/>
      <w:bookmarkEnd w:id="66"/>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67" w:name="_Toc452108767"/>
      <w:bookmarkStart w:id="68" w:name="_Toc58514238"/>
      <w:bookmarkStart w:id="69" w:name="_Toc451698939"/>
      <w:r>
        <w:rPr>
          <w:rFonts w:hint="eastAsia"/>
        </w:rPr>
        <w:t>求解计算</w:t>
      </w:r>
      <w:bookmarkEnd w:id="67"/>
      <w:bookmarkEnd w:id="68"/>
      <w:bookmarkEnd w:id="69"/>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0"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0"/>
      <w:r>
        <w:rPr>
          <w:rFonts w:hint="eastAsia" w:ascii="黑体" w:hAnsi="黑体" w:eastAsia="黑体"/>
          <w:sz w:val="20"/>
          <w:szCs w:val="20"/>
        </w:rPr>
        <w:t xml:space="preserve"> </w:t>
      </w:r>
      <w:bookmarkStart w:id="71" w:name="_Ref225175618"/>
      <w:r>
        <w:rPr>
          <w:rFonts w:hint="eastAsia" w:ascii="黑体" w:hAnsi="黑体" w:eastAsia="黑体"/>
          <w:sz w:val="20"/>
          <w:szCs w:val="20"/>
        </w:rPr>
        <w:t>计算流体力学的控制方程</w:t>
      </w:r>
      <w:bookmarkEnd w:id="71"/>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0"/>
    </w:p>
    <w:p>
      <w:pPr>
        <w:pStyle w:val="4"/>
      </w:pPr>
      <w:bookmarkStart w:id="72" w:name="_Toc509844747"/>
      <w:bookmarkStart w:id="73" w:name="_Toc58514239"/>
      <w:r>
        <w:rPr>
          <w:rFonts w:hint="eastAsia"/>
        </w:rPr>
        <w:t>风速放大系数计算</w:t>
      </w:r>
      <w:bookmarkEnd w:id="72"/>
      <w:bookmarkEnd w:id="73"/>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9pt;" o:ole="t" filled="f" o:preferrelative="t" stroked="f" coordsize="21600,21600">
            <v:path/>
            <v:fill on="f" focussize="0,0"/>
            <v:stroke on="f" joinstyle="miter"/>
            <v:imagedata r:id="rId60" o:title=""/>
            <o:lock v:ext="edit" aspectratio="t"/>
            <w10:wrap type="none"/>
            <w10:anchorlock/>
          </v:shape>
          <o:OLEObject Type="Embed" ProgID="Equation.3" ShapeID="_x0000_i1028" DrawAspect="Content" ObjectID="_1468075728" r:id="rId59">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35pt;width:23.75pt;" o:ole="t" filled="f" o:preferrelative="t" stroked="f" coordsize="21600,21600">
            <v:path/>
            <v:fill on="f" focussize="0,0"/>
            <v:stroke on="f" joinstyle="miter"/>
            <v:imagedata r:id="rId62" o:title=""/>
            <o:lock v:ext="edit" aspectratio="t"/>
            <w10:wrap type="none"/>
            <w10:anchorlock/>
          </v:shape>
          <o:OLEObject Type="Embed" ProgID="Equation.3" ShapeID="_x0000_i1029" DrawAspect="Content" ObjectID="_1468075729" r:id="rId61">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4pt;width:23.75pt;" o:ole="t" filled="f" o:preferrelative="t" stroked="f" coordsize="21600,21600">
            <v:path/>
            <v:fill on="f" focussize="0,0"/>
            <v:stroke on="f" joinstyle="miter"/>
            <v:imagedata r:id="rId64" o:title=""/>
            <o:lock v:ext="edit" aspectratio="t"/>
            <w10:wrap type="none"/>
            <w10:anchorlock/>
          </v:shape>
          <o:OLEObject Type="Embed" ProgID="Equation.3" ShapeID="_x0000_i1030" DrawAspect="Content" ObjectID="_1468075730" r:id="rId63">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4pt;width:20.4pt;" o:ole="t" filled="f" o:preferrelative="t" stroked="f" coordsize="21600,21600">
            <v:path/>
            <v:fill on="f" focussize="0,0"/>
            <v:stroke on="f" joinstyle="miter"/>
            <v:imagedata r:id="rId66" o:title=""/>
            <o:lock v:ext="edit" aspectratio="t"/>
            <w10:wrap type="none"/>
            <w10:anchorlock/>
          </v:shape>
          <o:OLEObject Type="Embed" ProgID="Equation.3" ShapeID="_x0000_i1031" DrawAspect="Content" ObjectID="_1468075731" r:id="rId65">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74" w:name="地面粗糙度指数"/>
      <w:r>
        <w:rPr>
          <w:rFonts w:hint="eastAsia"/>
          <w:lang w:val="en-US"/>
        </w:rPr>
        <w:t>0.28</w:t>
      </w:r>
      <w:bookmarkEnd w:id="74"/>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75" w:name="_Toc58514240"/>
      <w:bookmarkStart w:id="76" w:name="_Toc452108768"/>
      <w:r>
        <w:rPr>
          <w:rFonts w:hint="eastAsia"/>
        </w:rPr>
        <w:t>结果</w:t>
      </w:r>
      <w:r>
        <w:t>分析</w:t>
      </w:r>
      <w:bookmarkEnd w:id="75"/>
      <w:bookmarkEnd w:id="76"/>
    </w:p>
    <w:p>
      <w:pPr>
        <w:pStyle w:val="4"/>
        <w:rPr>
          <w:szCs w:val="21"/>
        </w:rPr>
      </w:pPr>
      <w:bookmarkStart w:id="77" w:name="_Toc58514241"/>
      <w:r>
        <w:rPr>
          <w:rFonts w:hint="eastAsia"/>
          <w:szCs w:val="21"/>
        </w:rPr>
        <w:t>工况</w:t>
      </w:r>
      <w:r>
        <w:rPr>
          <w:szCs w:val="21"/>
        </w:rPr>
        <w:t>表</w:t>
      </w:r>
      <w:bookmarkEnd w:id="77"/>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78"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SE</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315.0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0.0</w:t>
            </w:r>
          </w:p>
        </w:tc>
      </w:tr>
      <w:bookmarkEnd w:id="78"/>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7"/>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79" w:name="_Toc509844750"/>
      <w:bookmarkStart w:id="80" w:name="_Toc58514242"/>
      <w:r>
        <w:rPr>
          <w:rFonts w:hint="eastAsia"/>
        </w:rPr>
        <w:t>冬季工况</w:t>
      </w:r>
      <w:bookmarkEnd w:id="79"/>
      <w:bookmarkEnd w:id="80"/>
    </w:p>
    <w:p>
      <w:pPr>
        <w:ind w:firstLine="420" w:firstLineChars="200"/>
        <w:jc w:val="both"/>
      </w:pPr>
      <w:r>
        <w:rPr>
          <w:rFonts w:hint="eastAsia"/>
          <w:lang w:val="en-US"/>
        </w:rPr>
        <w:t>本项目冬季工况的入口边界风速为</w:t>
      </w:r>
      <w:bookmarkStart w:id="81" w:name="冬季入口边界风速"/>
      <w:r>
        <w:rPr>
          <w:rFonts w:hint="eastAsia" w:ascii="Calibri" w:hAnsi="Calibri"/>
          <w:szCs w:val="21"/>
        </w:rPr>
        <w:t>4.70</w:t>
      </w:r>
      <w:bookmarkEnd w:id="81"/>
      <w:r>
        <w:rPr>
          <w:rFonts w:ascii="Calibri" w:hAnsi="Calibri"/>
          <w:szCs w:val="21"/>
        </w:rPr>
        <w:t>m/s</w:t>
      </w:r>
      <w:r>
        <w:rPr>
          <w:rFonts w:hint="eastAsia" w:ascii="Calibri" w:hAnsi="Calibri"/>
          <w:szCs w:val="21"/>
        </w:rPr>
        <w:t>，风向为</w:t>
      </w:r>
      <w:bookmarkStart w:id="82" w:name="冬季入口边界风向"/>
      <w:r>
        <w:rPr>
          <w:szCs w:val="21"/>
        </w:rPr>
        <w:t>N</w:t>
      </w:r>
      <w:bookmarkEnd w:id="82"/>
      <w:r>
        <w:rPr>
          <w:rFonts w:hint="eastAsia"/>
          <w:szCs w:val="21"/>
        </w:rPr>
        <w:t>。</w:t>
      </w:r>
    </w:p>
    <w:p>
      <w:pPr>
        <w:pStyle w:val="5"/>
      </w:pPr>
      <w:bookmarkStart w:id="83" w:name="_Toc58514243"/>
      <w:bookmarkStart w:id="84" w:name="_Toc509844751"/>
      <w:r>
        <w:rPr>
          <w:rFonts w:hint="eastAsia"/>
        </w:rPr>
        <w:t>风速达标分析</w:t>
      </w:r>
      <w:bookmarkEnd w:id="83"/>
      <w:bookmarkEnd w:id="84"/>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w:t>
      </w:r>
    </w:p>
    <w:p>
      <w:pPr>
        <w:pStyle w:val="3"/>
        <w:ind w:hanging="2" w:firstLineChars="0"/>
        <w:jc w:val="center"/>
        <w:rPr>
          <w:rFonts w:hint="eastAsia" w:ascii="Calibri Light" w:hAnsi="Calibri Light" w:eastAsia="黑体"/>
          <w:sz w:val="20"/>
          <w:szCs w:val="20"/>
          <w:lang w:eastAsia="zh-CN"/>
        </w:rPr>
      </w:pPr>
      <w:bookmarkStart w:id="85" w:name="冬季工况风速云图"/>
      <w:bookmarkEnd w:id="85"/>
      <w:r>
        <w:rPr>
          <w:rFonts w:hint="eastAsia" w:ascii="Calibri Light" w:hAnsi="Calibri Light" w:eastAsia="黑体"/>
          <w:sz w:val="20"/>
          <w:szCs w:val="20"/>
          <w:lang w:eastAsia="zh-CN"/>
        </w:rPr>
        <w:drawing>
          <wp:inline distT="0" distB="0" distL="114300" distR="114300">
            <wp:extent cx="5756910" cy="4659630"/>
            <wp:effectExtent l="0" t="0" r="15240" b="7620"/>
            <wp:docPr id="46" name="图片 46" descr="速度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速度云图"/>
                    <pic:cNvPicPr>
                      <a:picLocks noChangeAspect="1"/>
                    </pic:cNvPicPr>
                  </pic:nvPicPr>
                  <pic:blipFill>
                    <a:blip r:embed="rId68"/>
                    <a:stretch>
                      <a:fillRect/>
                    </a:stretch>
                  </pic:blipFill>
                  <pic:spPr>
                    <a:xfrm>
                      <a:off x="0" y="0"/>
                      <a:ext cx="5756910" cy="465963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86" w:name="_Toc509844752"/>
      <w:bookmarkStart w:id="87" w:name="_Toc58514244"/>
      <w:r>
        <w:rPr>
          <w:rFonts w:hint="eastAsia"/>
        </w:rPr>
        <w:t>风速放大系数达标分析</w:t>
      </w:r>
      <w:bookmarkEnd w:id="86"/>
      <w:bookmarkEnd w:id="87"/>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bookmarkStart w:id="88" w:name="冬季工况风速放大系数分析结论"/>
      <w:bookmarkEnd w:id="88"/>
      <w:r>
        <w:rPr>
          <w:lang w:val="en-US"/>
        </w:rPr>
        <w:t>建筑周围</w:t>
      </w:r>
      <w:r>
        <w:rPr>
          <w:color w:val="FF0000"/>
          <w:lang w:val="en-US"/>
        </w:rPr>
        <w:t>出现</w:t>
      </w:r>
      <w:r>
        <w:rPr>
          <w:lang w:val="en-US"/>
        </w:rPr>
        <w:t>风速放大系数超限区域，</w:t>
      </w:r>
      <w:r>
        <w:rPr>
          <w:color w:val="FF0000"/>
          <w:lang w:val="en-US"/>
        </w:rPr>
        <w:t>需</w:t>
      </w:r>
      <w:r>
        <w:rPr>
          <w:lang w:val="en-US"/>
        </w:rPr>
        <w:t>酌情调整建筑布局。</w:t>
      </w:r>
    </w:p>
    <w:p>
      <w:pPr>
        <w:pStyle w:val="3"/>
        <w:ind w:firstLine="420"/>
        <w:rPr>
          <w:rFonts w:ascii="黑体" w:hAnsi="黑体" w:eastAsia="黑体"/>
          <w:szCs w:val="20"/>
          <w:lang w:val="en-US"/>
        </w:rPr>
      </w:pPr>
      <w:bookmarkStart w:id="89" w:name="冬季工况风速放大系数云图"/>
      <w:bookmarkEnd w:id="89"/>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90" w:name="_Toc509844754"/>
      <w:bookmarkEnd w:id="90"/>
      <w:bookmarkStart w:id="91" w:name="_Toc509844755"/>
      <w:bookmarkEnd w:id="91"/>
      <w:bookmarkStart w:id="92" w:name="_Toc509844756"/>
      <w:bookmarkEnd w:id="92"/>
      <w:bookmarkStart w:id="93" w:name="_Toc509844757"/>
      <w:bookmarkEnd w:id="93"/>
      <w:bookmarkStart w:id="94" w:name="_Toc509844758"/>
      <w:bookmarkStart w:id="95" w:name="_Toc58514246"/>
      <w:r>
        <w:rPr>
          <w:rFonts w:hint="eastAsia"/>
        </w:rPr>
        <w:t>建筑迎风面和背风面风压分析</w:t>
      </w:r>
      <w:bookmarkEnd w:id="94"/>
      <w:bookmarkEnd w:id="95"/>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noChangeArrowheads="1"/>
                    </pic:cNvPicPr>
                  </pic:nvPicPr>
                  <pic:blipFill>
                    <a:blip r:embed="rId69">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rFonts w:hint="eastAsia" w:eastAsia="黑体"/>
          <w:lang w:eastAsia="zh-CN"/>
        </w:rPr>
      </w:pPr>
      <w:bookmarkStart w:id="96" w:name="冬季工况建筑迎风面风压云图"/>
      <w:bookmarkEnd w:id="96"/>
      <w:bookmarkStart w:id="97" w:name="冬季工况建筑背风面风压云图"/>
      <w:bookmarkEnd w:id="97"/>
      <w:r>
        <w:rPr>
          <w:rFonts w:hint="eastAsia" w:eastAsia="黑体"/>
          <w:lang w:eastAsia="zh-CN"/>
        </w:rPr>
        <w:drawing>
          <wp:inline distT="0" distB="0" distL="114300" distR="114300">
            <wp:extent cx="5760720" cy="3515360"/>
            <wp:effectExtent l="0" t="0" r="11430" b="8890"/>
            <wp:docPr id="47" name="图片 47" descr="剖面速度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剖面速度云图"/>
                    <pic:cNvPicPr>
                      <a:picLocks noChangeAspect="1"/>
                    </pic:cNvPicPr>
                  </pic:nvPicPr>
                  <pic:blipFill>
                    <a:blip r:embed="rId70"/>
                    <a:stretch>
                      <a:fillRect/>
                    </a:stretch>
                  </pic:blipFill>
                  <pic:spPr>
                    <a:xfrm>
                      <a:off x="0" y="0"/>
                      <a:ext cx="5760720" cy="351536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w:t>
      </w:r>
      <w:r>
        <w:rPr>
          <w:rFonts w:hint="eastAsia" w:ascii="黑体" w:hAnsi="黑体" w:eastAsia="黑体"/>
          <w:sz w:val="20"/>
          <w:szCs w:val="20"/>
          <w:lang w:val="en-US" w:eastAsia="zh-CN"/>
        </w:rPr>
        <w:t>剖</w:t>
      </w:r>
      <w:r>
        <w:rPr>
          <w:rFonts w:hint="eastAsia" w:ascii="黑体" w:hAnsi="黑体" w:eastAsia="黑体"/>
          <w:sz w:val="20"/>
          <w:szCs w:val="20"/>
        </w:rPr>
        <w:t>面风压云图</w:t>
      </w:r>
    </w:p>
    <w:p>
      <w:pPr>
        <w:pStyle w:val="6"/>
      </w:pPr>
      <w:bookmarkStart w:id="98" w:name="建筑迎风面和背风面风压差计算结果"/>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99" w:name="建筑迎背风面风压差表_建筑名"/>
      <w:r>
        <w:rPr>
          <w:rFonts w:ascii="Cambria" w:hAnsi="Cambria" w:eastAsia="黑体"/>
          <w:sz w:val="20"/>
        </w:rPr>
        <w:t>室外风环境总图模型</w:t>
      </w:r>
      <w:bookmarkEnd w:id="99"/>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3.87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-15.13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2.75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-21.10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19.71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-26.59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28.09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-1.09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-26.31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4.84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-26.86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-26.34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7.34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-26.80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34.14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5.57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-26.25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31.82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11.77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-26.53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38.30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-11.14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-24.10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12.96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12.09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-24.51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7.22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-23.32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14.00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-23.40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37.40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15.02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-22.83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37.85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6.77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-20.84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27.61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10.07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-20.59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8.17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-18.98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18.02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-19.55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37.57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11.67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-17.47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29.14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-21.42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11.75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-17.50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29.25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18.68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-17.95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36.63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19.33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-18.02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37.35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11.79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-17.03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15.04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-17.56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12.71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-17.02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29.73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17.34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-17.77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13.16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-16.93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15.12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-16.88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4.46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-21.62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-18.60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41.85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13.82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-17.39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13.90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-17.86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24.41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-19.66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44.07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17.36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-19.25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36.61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14.23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-19.12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14.11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-19.41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24.89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-21.27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46.16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14.01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-19.64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35.25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-25.19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60.44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35.63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-25.03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60.66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43层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28.22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-25.54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53.76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12.55</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-20.91</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33.46</w:t>
            </w:r>
          </w:p>
        </w:tc>
      </w:tr>
    </w:tbl>
    <w:p>
      <w:bookmarkStart w:id="100" w:name="结论"/>
      <w:bookmarkEnd w:id="100"/>
      <w:r>
        <w:t>标准要求：迎背风面窗平均风压差（绝对值）≤5Pa。结论：该楼</w:t>
      </w:r>
      <w:r>
        <w:rPr>
          <w:rFonts w:hint="eastAsia"/>
          <w:lang w:val="en-US" w:eastAsia="zh-CN"/>
        </w:rPr>
        <w:t>达标</w:t>
      </w:r>
      <w:r>
        <w:t>。</w:t>
      </w:r>
    </w:p>
    <w:bookmarkEnd w:id="98"/>
    <w:p>
      <w:pPr>
        <w:jc w:val="center"/>
        <w:rPr>
          <w:rFonts w:ascii="Cambria" w:hAnsi="Cambria" w:eastAsia="黑体"/>
          <w:sz w:val="20"/>
        </w:rPr>
      </w:pPr>
      <w:bookmarkStart w:id="101" w:name="建筑迎背风面风压差表_新增"/>
      <w:bookmarkEnd w:id="101"/>
      <w:bookmarkStart w:id="102" w:name="建筑迎背风面风压差表"/>
    </w:p>
    <w:bookmarkEnd w:id="102"/>
    <w:p>
      <w:pPr>
        <w:pStyle w:val="6"/>
      </w:pPr>
      <w:r>
        <w:rPr>
          <w:rFonts w:hint="eastAsia"/>
        </w:rPr>
        <w:t>建筑迎风和背风面风压差结论汇总</w:t>
      </w:r>
    </w:p>
    <w:p>
      <w:pPr>
        <w:rPr>
          <w:lang w:val="en-US"/>
        </w:rPr>
      </w:pPr>
      <w:bookmarkStart w:id="103" w:name="建筑迎风和背风面风压差结论汇总结论"/>
      <w:bookmarkEnd w:id="103"/>
      <w:r>
        <w:rPr>
          <w:lang w:val="en-US"/>
        </w:rPr>
        <w:t>结论：本项目中所有参评建筑迎背风压差</w:t>
      </w:r>
      <w:r>
        <w:rPr>
          <w:b w:val="0"/>
          <w:bCs/>
          <w:color w:val="auto"/>
          <w:lang w:val="en-US"/>
        </w:rPr>
        <w:t>超过</w:t>
      </w:r>
      <w:r>
        <w:rPr>
          <w:lang w:val="en-US"/>
        </w:rPr>
        <w:t>5Pa，</w:t>
      </w:r>
      <w:r>
        <w:rPr>
          <w:b w:val="0"/>
          <w:bCs/>
          <w:color w:val="auto"/>
          <w:lang w:val="en-US"/>
        </w:rPr>
        <w:t>满足</w:t>
      </w:r>
      <w:r>
        <w:rPr>
          <w:lang w:val="en-US"/>
        </w:rPr>
        <w:t>“除迎风第一排建筑外，建筑迎风面与背风面表面风压差不超过5Pa”的要求。</w:t>
      </w:r>
    </w:p>
    <w:p>
      <w:pPr>
        <w:rPr>
          <w:lang w:val="en-US"/>
        </w:rPr>
      </w:pPr>
      <w:bookmarkStart w:id="104" w:name="冬季工况"/>
      <w:bookmarkEnd w:id="104"/>
      <w:r>
        <w:rPr>
          <w:rFonts w:hint="eastAsia"/>
          <w:lang w:val="en-US"/>
        </w:rPr>
        <w:t xml:space="preserve"> </w:t>
      </w:r>
    </w:p>
    <w:p>
      <w:pPr>
        <w:pStyle w:val="4"/>
      </w:pPr>
      <w:bookmarkStart w:id="105" w:name="_Toc58514247"/>
      <w:r>
        <w:rPr>
          <w:rFonts w:hint="eastAsia"/>
        </w:rPr>
        <w:t>夏季工况</w:t>
      </w:r>
      <w:bookmarkEnd w:id="105"/>
    </w:p>
    <w:p>
      <w:pPr>
        <w:pStyle w:val="3"/>
        <w:ind w:firstLine="420"/>
      </w:pPr>
      <w:r>
        <w:rPr>
          <w:rFonts w:hint="eastAsia"/>
          <w:lang w:val="en-US"/>
        </w:rPr>
        <w:t>本项目夏季工况的入口边界风速为3.00m/s，风向为</w:t>
      </w:r>
      <w:r>
        <w:t>SE</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06" w:name="_Toc58514248"/>
      <w:r>
        <w:rPr>
          <w:rFonts w:hint="eastAsia"/>
        </w:rPr>
        <w:t>无风区计算分析</w:t>
      </w:r>
      <w:bookmarkEnd w:id="106"/>
    </w:p>
    <w:p>
      <w:pPr>
        <w:pStyle w:val="3"/>
        <w:tabs>
          <w:tab w:val="left" w:pos="426"/>
        </w:tabs>
        <w:ind w:firstLine="420"/>
      </w:pPr>
      <w:r>
        <w:rPr>
          <w:rFonts w:hint="eastAsia"/>
        </w:rPr>
        <w:t>下图为整个计算域内风速分布云图，参考图中速度分布可以对项目中建筑布局进行优化。分析下图，</w:t>
      </w:r>
      <w:r>
        <w:t>黑色等值线</w:t>
      </w:r>
      <w:r>
        <w:rPr>
          <w:color w:val="auto"/>
        </w:rPr>
        <w:t>标示出了人行区内风速小于0.2m/s的超限区域，因此满足</w:t>
      </w:r>
      <w:r>
        <w:t>绿标要求，需调整建筑布局优化区域内风速分布。</w:t>
      </w:r>
    </w:p>
    <w:p>
      <w:pPr>
        <w:pStyle w:val="5"/>
      </w:pPr>
      <w:bookmarkStart w:id="107" w:name="_Toc58514249"/>
      <w:r>
        <w:rPr>
          <w:rFonts w:hint="eastAsia"/>
        </w:rPr>
        <w:t>旋涡区分析</w:t>
      </w:r>
      <w:bookmarkEnd w:id="107"/>
    </w:p>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p>
    <w:p>
      <w:pPr>
        <w:pStyle w:val="5"/>
      </w:pPr>
      <w:bookmarkStart w:id="108" w:name="_Toc58514250"/>
      <w:r>
        <w:rPr>
          <w:rFonts w:hint="eastAsia"/>
        </w:rPr>
        <w:t>人行区域旋涡区/无风区达标判定</w:t>
      </w:r>
      <w:bookmarkEnd w:id="108"/>
    </w:p>
    <w:p>
      <w:pPr>
        <w:pStyle w:val="5"/>
      </w:pPr>
      <w:bookmarkStart w:id="109" w:name="_Toc58514251"/>
      <w:r>
        <w:rPr>
          <w:rFonts w:hint="eastAsia"/>
        </w:rPr>
        <w:t>外窗内外表面风压差达标分析</w:t>
      </w:r>
      <w:bookmarkEnd w:id="109"/>
    </w:p>
    <w:p>
      <w:pPr>
        <w:pStyle w:val="3"/>
        <w:ind w:firstLine="420"/>
      </w:pPr>
      <w:r>
        <w:rPr>
          <w:rFonts w:hint="eastAsia"/>
          <w:lang w:val="en-US"/>
        </w:rPr>
        <w:t>分析《绿色建筑评价标准》，夏季为充分利用自然通风获得良好的室内风环境，要求50%以上可开启外窗室内外表面的风压差大于0.5Pa。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DT单体(室外风环境总图模型)</w:t>
            </w:r>
          </w:p>
        </w:tc>
        <w:tc>
          <w:tcPr>
            <w:tcW w:w="1134" w:type="dxa"/>
            <w:shd w:val="clear" w:color="auto" w:fill="auto"/>
            <w:vAlign w:val="center"/>
          </w:tcPr>
          <w:p>
            <w:pPr>
              <w:jc w:val="center"/>
              <w:rPr>
                <w:lang w:val="en-US"/>
              </w:rPr>
            </w:pPr>
            <w:r>
              <w:rPr>
                <w:lang w:val="en-US"/>
              </w:rPr>
              <w:t>971</w:t>
            </w:r>
          </w:p>
        </w:tc>
        <w:tc>
          <w:tcPr>
            <w:tcW w:w="1984" w:type="dxa"/>
            <w:shd w:val="clear" w:color="auto" w:fill="auto"/>
            <w:vAlign w:val="center"/>
          </w:tcPr>
          <w:p>
            <w:pPr>
              <w:jc w:val="center"/>
              <w:rPr>
                <w:lang w:val="en-US"/>
              </w:rPr>
            </w:pPr>
            <w:r>
              <w:rPr>
                <w:lang w:val="en-US"/>
              </w:rPr>
              <w:t>968</w:t>
            </w:r>
          </w:p>
        </w:tc>
        <w:tc>
          <w:tcPr>
            <w:tcW w:w="1116" w:type="dxa"/>
            <w:shd w:val="clear" w:color="auto" w:fill="auto"/>
            <w:vAlign w:val="center"/>
          </w:tcPr>
          <w:p>
            <w:pPr>
              <w:jc w:val="center"/>
              <w:rPr>
                <w:lang w:val="en-US"/>
              </w:rPr>
            </w:pPr>
            <w:r>
              <w:rPr>
                <w:lang w:val="en-US"/>
              </w:rPr>
              <w:t>99.69</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5.3</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&lt;未命名&gt;</w:t>
            </w:r>
          </w:p>
        </w:tc>
        <w:tc>
          <w:tcPr>
            <w:tcW w:w="1417" w:type="dxa"/>
            <w:vAlign w:val="center"/>
          </w:tcPr>
          <w:p>
            <w:pPr>
              <w:spacing w:line="360" w:lineRule="exact"/>
              <w:jc w:val="center"/>
              <w:rPr>
                <w:lang w:val="en-US"/>
              </w:rPr>
            </w:pPr>
            <w:r>
              <w:rPr>
                <w:lang w:val="en-US"/>
              </w:rPr>
              <w:t>2554.18</w:t>
            </w:r>
          </w:p>
        </w:tc>
        <w:tc>
          <w:tcPr>
            <w:tcW w:w="2552" w:type="dxa"/>
            <w:vAlign w:val="center"/>
          </w:tcPr>
          <w:p>
            <w:pPr>
              <w:spacing w:line="360" w:lineRule="exact"/>
              <w:jc w:val="center"/>
              <w:rPr>
                <w:lang w:val="en-US"/>
              </w:rPr>
            </w:pPr>
            <w:r>
              <w:rPr>
                <w:lang w:val="en-US"/>
              </w:rPr>
              <w:t>2542.02</w:t>
            </w:r>
          </w:p>
        </w:tc>
        <w:tc>
          <w:tcPr>
            <w:tcW w:w="1134" w:type="dxa"/>
            <w:vAlign w:val="center"/>
          </w:tcPr>
          <w:p>
            <w:pPr>
              <w:spacing w:line="360" w:lineRule="exact"/>
              <w:jc w:val="center"/>
              <w:rPr>
                <w:lang w:val="en-US"/>
              </w:rPr>
            </w:pPr>
            <w:r>
              <w:rPr>
                <w:lang w:val="en-US"/>
              </w:rPr>
              <w:t>99.52</w:t>
            </w:r>
          </w:p>
        </w:tc>
        <w:tc>
          <w:tcPr>
            <w:tcW w:w="835" w:type="dxa"/>
            <w:vAlign w:val="center"/>
          </w:tcPr>
          <w:p>
            <w:pPr>
              <w:spacing w:line="360" w:lineRule="exact"/>
              <w:jc w:val="center"/>
              <w:rPr>
                <w:lang w:val="en-US"/>
              </w:rPr>
            </w:pPr>
            <w:r>
              <w:rPr>
                <w:lang w:val="en-US"/>
              </w:rPr>
              <w:t>是</w:t>
            </w:r>
          </w:p>
        </w:tc>
      </w:tr>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
        <w:rPr>
          <w:rFonts w:hint="eastAsia"/>
        </w:rPr>
        <w:t xml:space="preserve"> </w:t>
      </w:r>
    </w:p>
    <w:p>
      <w:pPr>
        <w:rPr>
          <w:lang w:val="en-US"/>
        </w:rPr>
      </w:pPr>
      <w:r>
        <w:rPr>
          <w:rFonts w:hint="eastAsia"/>
          <w:lang w:val="en-US"/>
        </w:rPr>
        <w:t xml:space="preserve">结论：本项目中所有建筑均满足“50%以上可开启外窗室内外表面的风压差大于0.5Pa”的要求。 </w:t>
      </w:r>
    </w:p>
    <w:p>
      <w:pPr>
        <w:pStyle w:val="4"/>
      </w:pPr>
      <w:bookmarkStart w:id="110" w:name="季节1"/>
      <w:bookmarkStart w:id="111" w:name="_Toc509844759"/>
      <w:bookmarkStart w:id="112" w:name="_Toc58514252"/>
      <w:r>
        <w:rPr>
          <w:rFonts w:hint="eastAsia"/>
        </w:rPr>
        <w:t>过渡季</w:t>
      </w:r>
      <w:bookmarkEnd w:id="110"/>
      <w:r>
        <w:rPr>
          <w:rFonts w:hint="eastAsia"/>
        </w:rPr>
        <w:t>工况</w:t>
      </w:r>
      <w:bookmarkEnd w:id="111"/>
      <w:bookmarkEnd w:id="112"/>
    </w:p>
    <w:p>
      <w:pPr>
        <w:pStyle w:val="3"/>
        <w:ind w:firstLine="420"/>
      </w:pPr>
      <w:r>
        <w:rPr>
          <w:rFonts w:hint="eastAsia"/>
          <w:lang w:val="en-US"/>
        </w:rPr>
        <w:t>本项目</w:t>
      </w:r>
      <w:bookmarkStart w:id="113" w:name="季节2"/>
      <w:r>
        <w:rPr>
          <w:rFonts w:hint="eastAsia"/>
          <w:lang w:val="en-US"/>
        </w:rPr>
        <w:t>过渡季</w:t>
      </w:r>
      <w:bookmarkEnd w:id="113"/>
      <w:r>
        <w:rPr>
          <w:rFonts w:hint="eastAsia"/>
          <w:lang w:val="en-US"/>
        </w:rPr>
        <w:t>工况的入口边界风速为</w:t>
      </w:r>
      <w:bookmarkStart w:id="114" w:name="入口边界风速"/>
      <w:r>
        <w:rPr>
          <w:rFonts w:hint="eastAsia"/>
          <w:lang w:val="en-US"/>
        </w:rPr>
        <w:t>3.00</w:t>
      </w:r>
      <w:bookmarkEnd w:id="114"/>
      <w:r>
        <w:rPr>
          <w:rFonts w:hint="eastAsia"/>
          <w:lang w:val="en-US"/>
        </w:rPr>
        <w:t>m/s，风向为</w:t>
      </w:r>
      <w:bookmarkStart w:id="115" w:name="入口边界风向"/>
      <w:r>
        <w:t>E</w:t>
      </w:r>
      <w:bookmarkEnd w:id="115"/>
      <w:r>
        <w:rPr>
          <w:rFonts w:hint="eastAsia"/>
          <w:lang w:val="en-US"/>
        </w:rPr>
        <w:t>。</w:t>
      </w:r>
    </w:p>
    <w:p>
      <w:pPr>
        <w:pStyle w:val="3"/>
        <w:ind w:firstLine="420"/>
      </w:pPr>
      <w:r>
        <w:rPr>
          <w:rFonts w:hint="eastAsia"/>
          <w:lang w:val="en-US"/>
        </w:rPr>
        <w:t>根据前述《绿色建筑评价标准》 对于夏季工况的要求，</w:t>
      </w:r>
      <w:bookmarkStart w:id="116" w:name="季节3"/>
      <w:r>
        <w:rPr>
          <w:rFonts w:hint="eastAsia"/>
          <w:lang w:val="en-US"/>
        </w:rPr>
        <w:t>过渡季</w:t>
      </w:r>
      <w:bookmarkEnd w:id="116"/>
      <w:r>
        <w:rPr>
          <w:rFonts w:hint="eastAsia"/>
          <w:lang w:val="en-US"/>
        </w:rPr>
        <w:t>典型风速和风向条件下，场地内人活动区不出现涡旋或无风区。通过该项标准指导设计确保合理的建筑布局，在</w:t>
      </w:r>
      <w:bookmarkStart w:id="117" w:name="季节4"/>
      <w:r>
        <w:rPr>
          <w:rFonts w:hint="eastAsia"/>
          <w:lang w:val="en-US"/>
        </w:rPr>
        <w:t>过渡季</w:t>
      </w:r>
      <w:bookmarkEnd w:id="117"/>
      <w:r>
        <w:rPr>
          <w:rFonts w:hint="eastAsia"/>
          <w:lang w:val="en-US"/>
        </w:rPr>
        <w:t>形成有效的巷道风，优化街区自然通风环境，避免</w:t>
      </w:r>
      <w:bookmarkStart w:id="118" w:name="季节5"/>
      <w:r>
        <w:rPr>
          <w:rFonts w:hint="eastAsia"/>
          <w:lang w:val="en-US"/>
        </w:rPr>
        <w:t>过渡季</w:t>
      </w:r>
      <w:bookmarkEnd w:id="118"/>
      <w:r>
        <w:rPr>
          <w:rFonts w:hint="eastAsia"/>
          <w:lang w:val="en-US"/>
        </w:rPr>
        <w:t>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19" w:name="_Toc509844760"/>
      <w:bookmarkStart w:id="120" w:name="_Toc58514253"/>
      <w:r>
        <w:rPr>
          <w:rFonts w:hint="eastAsia"/>
        </w:rPr>
        <w:t>无风区计算分析</w:t>
      </w:r>
      <w:bookmarkEnd w:id="119"/>
      <w:bookmarkEnd w:id="120"/>
    </w:p>
    <w:p>
      <w:pPr>
        <w:pStyle w:val="3"/>
        <w:tabs>
          <w:tab w:val="left" w:pos="426"/>
        </w:tabs>
        <w:ind w:firstLine="420"/>
      </w:pPr>
      <w:r>
        <w:rPr>
          <w:rFonts w:hint="eastAsia"/>
        </w:rPr>
        <w:t>下图为整个计算域内风速分布云图，参考图中速度分布可以对项目中建筑布局进行优化。分析下图，</w:t>
      </w:r>
      <w:bookmarkStart w:id="121" w:name="风速分析结论"/>
      <w:bookmarkEnd w:id="121"/>
      <w:r>
        <w:t>黑色等值线</w:t>
      </w:r>
      <w:r>
        <w:rPr>
          <w:color w:val="auto"/>
        </w:rPr>
        <w:t>标示出了人行区内风速小于0.2m/s的超限区域，因此满足</w:t>
      </w:r>
      <w:r>
        <w:t>绿标要求，需调整建筑布局优化区域内风速分布。</w:t>
      </w:r>
    </w:p>
    <w:p>
      <w:pPr>
        <w:pStyle w:val="5"/>
      </w:pPr>
      <w:bookmarkStart w:id="122" w:name="风速云图"/>
      <w:bookmarkEnd w:id="122"/>
      <w:bookmarkStart w:id="123" w:name="_Toc58514254"/>
      <w:bookmarkStart w:id="124" w:name="_Toc509844761"/>
      <w:r>
        <w:rPr>
          <w:rFonts w:hint="eastAsia"/>
        </w:rPr>
        <w:t>旋涡区分析</w:t>
      </w:r>
      <w:bookmarkEnd w:id="123"/>
      <w:bookmarkEnd w:id="124"/>
    </w:p>
    <w:p>
      <w:pPr>
        <w:pStyle w:val="3"/>
        <w:tabs>
          <w:tab w:val="left" w:pos="426"/>
        </w:tabs>
        <w:ind w:firstLine="420"/>
        <w:rPr>
          <w:lang w:val="en-US"/>
        </w:rPr>
      </w:pPr>
      <w:r>
        <w:rPr>
          <w:rFonts w:hint="eastAsia"/>
          <w:lang w:val="en-US" w:eastAsia="zh-CN"/>
        </w:rPr>
        <w:t>由</w:t>
      </w:r>
      <w:r>
        <w:rPr>
          <w:rFonts w:hint="eastAsia"/>
          <w:lang w:val="en-US"/>
        </w:rPr>
        <w:t>计算域内的风速矢量图，分析可知，计算域内没有明显的旋涡产生，本项目建筑布局基本合理。</w:t>
      </w:r>
    </w:p>
    <w:p>
      <w:pPr>
        <w:pStyle w:val="5"/>
      </w:pPr>
      <w:bookmarkStart w:id="125" w:name="风速矢量图"/>
      <w:bookmarkEnd w:id="125"/>
      <w:bookmarkStart w:id="126" w:name="_Toc504501018"/>
      <w:bookmarkStart w:id="127" w:name="_Toc58514256"/>
      <w:bookmarkStart w:id="128" w:name="_Toc509844763"/>
      <w:r>
        <w:rPr>
          <w:rFonts w:hint="eastAsia"/>
        </w:rPr>
        <w:t>外窗内外表面风压</w:t>
      </w:r>
      <w:bookmarkEnd w:id="126"/>
      <w:r>
        <w:rPr>
          <w:rFonts w:hint="eastAsia"/>
        </w:rPr>
        <w:t>差达标分析</w:t>
      </w:r>
      <w:bookmarkEnd w:id="127"/>
      <w:bookmarkEnd w:id="128"/>
    </w:p>
    <w:p>
      <w:pPr>
        <w:pStyle w:val="3"/>
        <w:ind w:firstLine="420"/>
      </w:pPr>
      <w:r>
        <w:rPr>
          <w:rFonts w:hint="eastAsia"/>
          <w:lang w:val="en-US"/>
        </w:rPr>
        <w:t>分析《绿色建筑评价标准》，</w:t>
      </w:r>
      <w:bookmarkStart w:id="129" w:name="季节9"/>
      <w:r>
        <w:rPr>
          <w:rFonts w:hint="eastAsia"/>
          <w:lang w:val="en-US"/>
        </w:rPr>
        <w:t>过渡季</w:t>
      </w:r>
      <w:bookmarkEnd w:id="129"/>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bookmarkStart w:id="130" w:name="迎风面风压云图"/>
      <w:bookmarkEnd w:id="130"/>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5.4</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DT单体(室外风环境总图模型)</w:t>
            </w:r>
          </w:p>
        </w:tc>
        <w:tc>
          <w:tcPr>
            <w:tcW w:w="1134" w:type="dxa"/>
            <w:shd w:val="clear" w:color="auto" w:fill="auto"/>
            <w:vAlign w:val="center"/>
          </w:tcPr>
          <w:p>
            <w:pPr>
              <w:jc w:val="center"/>
              <w:rPr>
                <w:lang w:val="en-US"/>
              </w:rPr>
            </w:pPr>
            <w:r>
              <w:rPr>
                <w:lang w:val="en-US"/>
              </w:rPr>
              <w:t>971</w:t>
            </w:r>
          </w:p>
        </w:tc>
        <w:tc>
          <w:tcPr>
            <w:tcW w:w="1984" w:type="dxa"/>
            <w:shd w:val="clear" w:color="auto" w:fill="auto"/>
            <w:vAlign w:val="center"/>
          </w:tcPr>
          <w:p>
            <w:pPr>
              <w:jc w:val="center"/>
              <w:rPr>
                <w:lang w:val="en-US"/>
              </w:rPr>
            </w:pPr>
            <w:r>
              <w:rPr>
                <w:lang w:val="en-US"/>
              </w:rPr>
              <w:t>971</w:t>
            </w:r>
          </w:p>
        </w:tc>
        <w:tc>
          <w:tcPr>
            <w:tcW w:w="1116" w:type="dxa"/>
            <w:shd w:val="clear" w:color="auto" w:fill="auto"/>
            <w:vAlign w:val="center"/>
          </w:tcPr>
          <w:p>
            <w:pPr>
              <w:jc w:val="center"/>
              <w:rPr>
                <w:lang w:val="en-US"/>
              </w:rPr>
            </w:pPr>
            <w:r>
              <w:rPr>
                <w:lang w:val="en-US"/>
              </w:rPr>
              <w:t>100.00</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31" w:name="建筑外窗室内外风压差达标判定"/>
      <w:bookmarkEnd w:id="131"/>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5.4</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&lt;未命名&gt;</w:t>
            </w:r>
          </w:p>
        </w:tc>
        <w:tc>
          <w:tcPr>
            <w:tcW w:w="1417" w:type="dxa"/>
            <w:vAlign w:val="center"/>
          </w:tcPr>
          <w:p>
            <w:pPr>
              <w:spacing w:line="360" w:lineRule="exact"/>
              <w:jc w:val="center"/>
              <w:rPr>
                <w:lang w:val="en-US"/>
              </w:rPr>
            </w:pPr>
            <w:r>
              <w:rPr>
                <w:lang w:val="en-US"/>
              </w:rPr>
              <w:t>2571.48</w:t>
            </w:r>
          </w:p>
        </w:tc>
        <w:tc>
          <w:tcPr>
            <w:tcW w:w="2552" w:type="dxa"/>
            <w:vAlign w:val="center"/>
          </w:tcPr>
          <w:p>
            <w:pPr>
              <w:spacing w:line="360" w:lineRule="exact"/>
              <w:jc w:val="center"/>
              <w:rPr>
                <w:lang w:val="en-US"/>
              </w:rPr>
            </w:pPr>
            <w:r>
              <w:rPr>
                <w:lang w:val="en-US"/>
              </w:rPr>
              <w:t>2552.18</w:t>
            </w:r>
          </w:p>
        </w:tc>
        <w:tc>
          <w:tcPr>
            <w:tcW w:w="1134" w:type="dxa"/>
            <w:vAlign w:val="center"/>
          </w:tcPr>
          <w:p>
            <w:pPr>
              <w:spacing w:line="360" w:lineRule="exact"/>
              <w:jc w:val="center"/>
              <w:rPr>
                <w:lang w:val="en-US"/>
              </w:rPr>
            </w:pPr>
            <w:r>
              <w:rPr>
                <w:lang w:val="en-US"/>
              </w:rPr>
              <w:t>99.25</w:t>
            </w:r>
          </w:p>
        </w:tc>
        <w:tc>
          <w:tcPr>
            <w:tcW w:w="835" w:type="dxa"/>
            <w:vAlign w:val="center"/>
          </w:tcPr>
          <w:p>
            <w:pPr>
              <w:spacing w:line="360" w:lineRule="exact"/>
              <w:jc w:val="center"/>
              <w:rPr>
                <w:lang w:val="en-US"/>
              </w:rPr>
            </w:pPr>
            <w:r>
              <w:rPr>
                <w:lang w:val="en-US"/>
              </w:rPr>
              <w:t>是</w:t>
            </w:r>
          </w:p>
        </w:tc>
      </w:tr>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bookmarkStart w:id="132" w:name="建筑室内外风压差达标判定"/>
      <w:r>
        <w:rPr>
          <w:rFonts w:hint="eastAsia"/>
        </w:rPr>
        <w:t xml:space="preserve"> </w:t>
      </w:r>
      <w:bookmarkEnd w:id="132"/>
    </w:p>
    <w:p>
      <w:pPr>
        <w:rPr>
          <w:lang w:val="en-US"/>
        </w:rPr>
      </w:pPr>
      <w:bookmarkStart w:id="133" w:name="建筑室内外风压差达标判定结论"/>
      <w:r>
        <w:rPr>
          <w:rFonts w:hint="eastAsia"/>
          <w:lang w:val="en-US"/>
        </w:rPr>
        <w:t>结论：本项目中所有建筑均满足“50%以上可开启外窗室内外表面的风压差大于0.5Pa”的要求。</w:t>
      </w:r>
      <w:bookmarkEnd w:id="133"/>
      <w:r>
        <w:rPr>
          <w:rFonts w:hint="eastAsia"/>
          <w:lang w:val="en-US"/>
        </w:rPr>
        <w:t xml:space="preserve"> </w:t>
      </w:r>
    </w:p>
    <w:p>
      <w:pPr>
        <w:rPr>
          <w:lang w:val="en-US"/>
        </w:rPr>
      </w:pPr>
      <w:bookmarkStart w:id="134" w:name="其他工况"/>
      <w:bookmarkEnd w:id="134"/>
      <w:r>
        <w:rPr>
          <w:rFonts w:hint="eastAsia"/>
          <w:lang w:val="en-US"/>
        </w:rPr>
        <w:t xml:space="preserve"> </w:t>
      </w:r>
    </w:p>
    <w:p>
      <w:pPr>
        <w:pStyle w:val="4"/>
      </w:pPr>
      <w:bookmarkStart w:id="135" w:name="_Toc509844764"/>
      <w:bookmarkStart w:id="136" w:name="_Toc58514257"/>
      <w:r>
        <w:rPr>
          <w:rFonts w:hint="eastAsia"/>
        </w:rPr>
        <w:t>结论</w:t>
      </w:r>
      <w:bookmarkEnd w:id="135"/>
      <w:bookmarkEnd w:id="136"/>
    </w:p>
    <w:p>
      <w:pPr>
        <w:pStyle w:val="5"/>
      </w:pPr>
      <w:bookmarkStart w:id="137" w:name="_Toc509844765"/>
      <w:bookmarkStart w:id="138" w:name="_Toc58514258"/>
      <w:r>
        <w:rPr>
          <w:rFonts w:hint="eastAsia"/>
        </w:rPr>
        <w:t>冬季工况达标判断</w:t>
      </w:r>
      <w:bookmarkEnd w:id="137"/>
      <w:bookmarkEnd w:id="138"/>
      <w:bookmarkStart w:id="139" w:name="_Toc509844766"/>
      <w:bookmarkEnd w:id="13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bookmarkStart w:id="140" w:name="冬季风速结果"/>
            <w:r>
              <w:t>出现</w:t>
            </w:r>
            <w:bookmarkEnd w:id="140"/>
            <w:r>
              <w:rPr>
                <w:rFonts w:hint="eastAsia"/>
                <w:lang w:val="en-US"/>
              </w:rPr>
              <w:t>风速大于</w:t>
            </w:r>
            <w:r>
              <w:rPr>
                <w:lang w:val="en-US"/>
              </w:rPr>
              <w:t>5m/s</w:t>
            </w:r>
            <w:r>
              <w:rPr>
                <w:rFonts w:hint="eastAsia"/>
                <w:lang w:val="en-US"/>
              </w:rPr>
              <w:t>的区域，户外休息区、儿童娱乐区</w:t>
            </w:r>
            <w:bookmarkStart w:id="141" w:name="冬季风速结果2"/>
            <w:r>
              <w:t>没有出现</w:t>
            </w:r>
            <w:bookmarkEnd w:id="141"/>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3</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bookmarkStart w:id="142" w:name="冬季风速放大系数结果"/>
            <w:r>
              <w:t>出现</w:t>
            </w:r>
            <w:bookmarkEnd w:id="142"/>
            <w:r>
              <w:rPr>
                <w:rFonts w:hint="eastAsia"/>
                <w:lang w:val="en-US"/>
              </w:rPr>
              <w:t>风速放大系数小于2的区域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除迎风第一排建筑外，建筑迎风面与背风面表面风压差不超过5Pa，得2分</w:t>
            </w:r>
          </w:p>
        </w:tc>
        <w:tc>
          <w:tcPr>
            <w:tcW w:w="1985" w:type="dxa"/>
            <w:shd w:val="clear" w:color="auto" w:fill="auto"/>
            <w:vAlign w:val="center"/>
          </w:tcPr>
          <w:p>
            <w:pPr>
              <w:jc w:val="center"/>
              <w:rPr>
                <w:lang w:val="en-US"/>
              </w:rPr>
            </w:pPr>
            <w:r>
              <w:rPr>
                <w:rFonts w:hint="eastAsia"/>
                <w:lang w:val="en-US"/>
              </w:rPr>
              <w:t>本项目</w:t>
            </w:r>
            <w:bookmarkStart w:id="143" w:name="冬季迎背风面结果"/>
            <w:r>
              <w:t>出现</w:t>
            </w:r>
            <w:bookmarkEnd w:id="143"/>
            <w:r>
              <w:rPr>
                <w:rFonts w:hint="eastAsia"/>
                <w:lang w:val="en-US"/>
              </w:rPr>
              <w:t>建筑迎风面与背风面表面风压差不超过5Pa的建筑</w:t>
            </w:r>
          </w:p>
        </w:tc>
        <w:tc>
          <w:tcPr>
            <w:tcW w:w="1985" w:type="dxa"/>
            <w:shd w:val="clear" w:color="auto" w:fill="auto"/>
            <w:vAlign w:val="center"/>
          </w:tcPr>
          <w:p>
            <w:pPr>
              <w:jc w:val="center"/>
              <w:rPr>
                <w:lang w:val="en-US"/>
              </w:rPr>
            </w:pPr>
            <w:r>
              <w:rPr>
                <w:rFonts w:hint="eastAsia"/>
                <w:b/>
                <w:lang w:val="en-US"/>
              </w:rPr>
              <w:t>达标</w:t>
            </w:r>
          </w:p>
        </w:tc>
        <w:tc>
          <w:tcPr>
            <w:tcW w:w="1416" w:type="dxa"/>
            <w:shd w:val="clear" w:color="auto" w:fill="auto"/>
            <w:vAlign w:val="center"/>
          </w:tcPr>
          <w:p>
            <w:pPr>
              <w:jc w:val="center"/>
              <w:rPr>
                <w:lang w:val="en-US"/>
              </w:rPr>
            </w:pPr>
            <w:r>
              <w:rPr>
                <w:rFonts w:hint="eastAsia"/>
                <w:lang w:val="en-US" w:eastAsia="zh-CN"/>
              </w:rPr>
              <w:t>2</w:t>
            </w:r>
            <w:r>
              <w:rPr>
                <w:rFonts w:hint="eastAsia"/>
                <w:lang w:val="en-US"/>
              </w:rPr>
              <w:t>分</w:t>
            </w:r>
          </w:p>
        </w:tc>
      </w:tr>
    </w:tbl>
    <w:p>
      <w:pPr>
        <w:rPr>
          <w:szCs w:val="21"/>
          <w:lang w:val="en-US"/>
        </w:rPr>
      </w:pPr>
    </w:p>
    <w:p>
      <w:pPr>
        <w:pStyle w:val="5"/>
      </w:pPr>
      <w:bookmarkStart w:id="144" w:name="_Toc509844767"/>
      <w:bookmarkEnd w:id="144"/>
      <w:bookmarkStart w:id="145" w:name="_Toc509844768"/>
      <w:bookmarkEnd w:id="145"/>
      <w:bookmarkStart w:id="146" w:name="_Toc58514259"/>
      <w:bookmarkStart w:id="147" w:name="_Toc509844769"/>
      <w:r>
        <w:rPr>
          <w:rFonts w:hint="eastAsia"/>
        </w:rPr>
        <w:t>过渡季、夏季工况达标判断</w:t>
      </w:r>
      <w:bookmarkEnd w:id="146"/>
      <w:bookmarkEnd w:id="147"/>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，得3分</w:t>
            </w:r>
            <w:r>
              <w:rPr>
                <w:lang w:val="en-US"/>
              </w:rPr>
              <w:t xml:space="preserve"> </w:t>
            </w:r>
          </w:p>
        </w:tc>
        <w:tc>
          <w:tcPr>
            <w:tcW w:w="1985" w:type="dxa"/>
            <w:tcBorders>
              <w:top w:val="single" w:color="auto" w:sz="4" w:space="0"/>
            </w:tcBorders>
            <w:shd w:val="clear" w:color="auto" w:fill="auto"/>
            <w:vAlign w:val="center"/>
          </w:tcPr>
          <w:p>
            <w:pPr>
              <w:jc w:val="center"/>
              <w:rPr>
                <w:lang w:val="en-US"/>
              </w:rPr>
            </w:pPr>
          </w:p>
        </w:tc>
        <w:tc>
          <w:tcPr>
            <w:tcW w:w="1985" w:type="dxa"/>
            <w:vMerge w:val="restart"/>
            <w:tcBorders>
              <w:top w:val="single" w:color="auto" w:sz="4" w:space="0"/>
            </w:tcBorders>
            <w:shd w:val="clear" w:color="auto" w:fill="auto"/>
            <w:vAlign w:val="center"/>
          </w:tcPr>
          <w:p>
            <w:pPr>
              <w:jc w:val="center"/>
              <w:rPr>
                <w:lang w:val="en-US"/>
              </w:rPr>
            </w:pPr>
            <w:r>
              <w:rPr>
                <w:rFonts w:hint="eastAsia"/>
                <w:b/>
                <w:lang w:val="en-US"/>
              </w:rPr>
              <w:t>达标</w:t>
            </w:r>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2</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，得2分。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48" w:name="夏季窗内外风压差结果"/>
            <w:r>
              <w:rPr>
                <w:rFonts w:hint="eastAsia"/>
                <w:lang w:val="en-US"/>
              </w:rPr>
              <w:t>满足</w:t>
            </w:r>
            <w:bookmarkEnd w:id="148"/>
            <w:r>
              <w:rPr>
                <w:rFonts w:hint="eastAsia"/>
                <w:lang w:val="en-US"/>
              </w:rPr>
              <w:t>标准要求</w:t>
            </w:r>
          </w:p>
        </w:tc>
        <w:tc>
          <w:tcPr>
            <w:tcW w:w="1985" w:type="dxa"/>
            <w:shd w:val="clear" w:color="auto" w:fill="auto"/>
            <w:vAlign w:val="center"/>
          </w:tcPr>
          <w:p>
            <w:pPr>
              <w:jc w:val="center"/>
              <w:rPr>
                <w:b/>
                <w:lang w:val="en-US"/>
              </w:rPr>
            </w:pPr>
            <w:bookmarkStart w:id="149" w:name="夏季窗内外风压差达标判定"/>
            <w:r>
              <w:rPr>
                <w:rFonts w:hint="eastAsia"/>
                <w:b/>
                <w:lang w:val="en-US"/>
              </w:rPr>
              <w:t>达标</w:t>
            </w:r>
            <w:bookmarkEnd w:id="149"/>
          </w:p>
        </w:tc>
        <w:tc>
          <w:tcPr>
            <w:tcW w:w="1416" w:type="dxa"/>
            <w:shd w:val="clear" w:color="auto" w:fill="auto"/>
            <w:vAlign w:val="center"/>
          </w:tcPr>
          <w:p>
            <w:pPr>
              <w:jc w:val="center"/>
              <w:rPr>
                <w:lang w:val="en-US"/>
              </w:rPr>
            </w:pPr>
            <w:bookmarkStart w:id="151" w:name="_GoBack"/>
            <w:bookmarkEnd w:id="151"/>
            <w:bookmarkStart w:id="150" w:name="夏季窗内外风压差得分"/>
            <w:r>
              <w:rPr>
                <w:rFonts w:hint="eastAsia"/>
                <w:lang w:val="en-US"/>
              </w:rPr>
              <w:t>2</w:t>
            </w:r>
            <w:bookmarkEnd w:id="150"/>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r>
        <w:rPr>
          <w:rFonts w:hint="eastAsia"/>
          <w:lang w:val="en-US" w:eastAsia="zh-CN"/>
        </w:rPr>
        <w:t>9</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27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27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GI5MmVjODNlMDEzNjFhNTUwZjQwNjMyN2RkMTYifQ=="/>
  </w:docVars>
  <w:rsids>
    <w:rsidRoot w:val="00377566"/>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75B3B"/>
    <w:rsid w:val="00377566"/>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5913"/>
    <w:rsid w:val="0074750E"/>
    <w:rsid w:val="00751D7B"/>
    <w:rsid w:val="00754FB6"/>
    <w:rsid w:val="00762314"/>
    <w:rsid w:val="007628A1"/>
    <w:rsid w:val="00782889"/>
    <w:rsid w:val="00790965"/>
    <w:rsid w:val="007A2008"/>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07DE"/>
    <w:rsid w:val="00C86FAA"/>
    <w:rsid w:val="00C87AC6"/>
    <w:rsid w:val="00C976BE"/>
    <w:rsid w:val="00C97E25"/>
    <w:rsid w:val="00C97F88"/>
    <w:rsid w:val="00CA1378"/>
    <w:rsid w:val="00CB0266"/>
    <w:rsid w:val="00CB0F5E"/>
    <w:rsid w:val="00CB2732"/>
    <w:rsid w:val="00CB44D7"/>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0A5F12F6"/>
    <w:rsid w:val="4A32158C"/>
    <w:rsid w:val="4AC8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numbering" Target="numbering.xml"/><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png"/><Relationship Id="rId66" Type="http://schemas.openxmlformats.org/officeDocument/2006/relationships/image" Target="media/image52.wmf"/><Relationship Id="rId65" Type="http://schemas.openxmlformats.org/officeDocument/2006/relationships/oleObject" Target="embeddings/oleObject7.bin"/><Relationship Id="rId64" Type="http://schemas.openxmlformats.org/officeDocument/2006/relationships/image" Target="media/image51.wmf"/><Relationship Id="rId63" Type="http://schemas.openxmlformats.org/officeDocument/2006/relationships/oleObject" Target="embeddings/oleObject6.bin"/><Relationship Id="rId62" Type="http://schemas.openxmlformats.org/officeDocument/2006/relationships/image" Target="media/image50.wmf"/><Relationship Id="rId61" Type="http://schemas.openxmlformats.org/officeDocument/2006/relationships/oleObject" Target="embeddings/oleObject5.bin"/><Relationship Id="rId60" Type="http://schemas.openxmlformats.org/officeDocument/2006/relationships/image" Target="media/image49.wmf"/><Relationship Id="rId6" Type="http://schemas.openxmlformats.org/officeDocument/2006/relationships/footer" Target="footer1.xml"/><Relationship Id="rId59" Type="http://schemas.openxmlformats.org/officeDocument/2006/relationships/oleObject" Target="embeddings/oleObject4.bin"/><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D49D-D2C9-4D7E-B904-6FC637A4BC2A}">
  <ds:schemaRefs/>
</ds:datastoreItem>
</file>

<file path=docProps/app.xml><?xml version="1.0" encoding="utf-8"?>
<Properties xmlns="http://schemas.openxmlformats.org/officeDocument/2006/extended-properties" xmlns:vt="http://schemas.openxmlformats.org/officeDocument/2006/docPropsVTypes">
  <Template>tmp33.dotx</Template>
  <Company>ths</Company>
  <Pages>23</Pages>
  <Words>7712</Words>
  <Characters>9203</Characters>
  <Lines>107</Lines>
  <Paragraphs>30</Paragraphs>
  <TotalTime>0</TotalTime>
  <ScaleCrop>false</ScaleCrop>
  <LinksUpToDate>false</LinksUpToDate>
  <CharactersWithSpaces>10072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2020-12-10T09:36:00Z</dcterms:created>
  <dc:creator>user</dc:creator>
  <cp:lastModifiedBy>深巷</cp:lastModifiedBy>
  <cp:lastPrinted>1900-12-31T16:00:00Z</cp:lastPrinted>
  <dcterms:modified xsi:type="dcterms:W3CDTF">2023-02-28T14:22:21Z</dcterms:modified>
  <dc:title>室外风环境模拟分析报告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76542106F18545278F6D3C6EC0D50B32</vt:lpwstr>
  </property>
</Properties>
</file>