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声环境分析报告</w:t>
      </w:r>
    </w:p>
    <w:p>
      <w:pPr>
        <w:numPr>
          <w:ilvl w:val="0"/>
          <w:numId w:val="1"/>
        </w:numPr>
        <w:jc w:val="left"/>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项目概况</w:t>
      </w:r>
      <w:r>
        <w:rPr>
          <w:rFonts w:hint="eastAsia" w:ascii="微软雅黑" w:hAnsi="微软雅黑" w:eastAsia="微软雅黑" w:cs="微软雅黑"/>
          <w:b w:val="0"/>
          <w:bCs w:val="0"/>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双龙生态公园位于贵州省贵阳市双龙港经济区核心区，规划面积约121.58公顷，总建筑面积1006m</w:t>
      </w:r>
      <w:r>
        <w:rPr>
          <w:rFonts w:hint="eastAsia" w:ascii="微软雅黑" w:hAnsi="微软雅黑" w:eastAsia="微软雅黑" w:cs="微软雅黑"/>
          <w:b w:val="0"/>
          <w:bCs w:val="0"/>
          <w:sz w:val="24"/>
          <w:szCs w:val="24"/>
          <w:vertAlign w:val="superscript"/>
          <w:lang w:val="en-US" w:eastAsia="zh-CN"/>
        </w:rPr>
        <w:t>2</w:t>
      </w:r>
      <w:r>
        <w:rPr>
          <w:rFonts w:hint="eastAsia" w:ascii="微软雅黑" w:hAnsi="微软雅黑" w:eastAsia="微软雅黑" w:cs="微软雅黑"/>
          <w:b w:val="0"/>
          <w:bCs w:val="0"/>
          <w:sz w:val="24"/>
          <w:szCs w:val="24"/>
          <w:lang w:val="en-US" w:eastAsia="zh-CN"/>
        </w:rPr>
        <w:t>双龙生态公园是贵州双龙航空港经济区打造的以自然生态为基础的主题公园。北靠龙水路、南靠西南环线、东临机场路、西临龙洞堡大道，交通便利。</w:t>
      </w:r>
    </w:p>
    <w:tbl>
      <w:tblPr>
        <w:tblStyle w:val="2"/>
        <w:tblW w:w="8835" w:type="dxa"/>
        <w:jc w:val="center"/>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Layout w:type="fixed"/>
        <w:tblCellMar>
          <w:top w:w="0" w:type="dxa"/>
          <w:left w:w="108" w:type="dxa"/>
          <w:bottom w:w="0" w:type="dxa"/>
          <w:right w:w="108" w:type="dxa"/>
        </w:tblCellMar>
      </w:tblPr>
      <w:tblGrid>
        <w:gridCol w:w="1464"/>
        <w:gridCol w:w="7371"/>
      </w:tblGrid>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410" w:hRule="atLeast"/>
          <w:tblHeader/>
          <w:jc w:val="center"/>
        </w:trPr>
        <w:tc>
          <w:tcPr>
            <w:tcW w:w="1464" w:type="dxa"/>
            <w:tcBorders>
              <w:top w:val="thinThickSmallGap" w:color="009999" w:sz="2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w:t>
            </w:r>
          </w:p>
        </w:tc>
        <w:tc>
          <w:tcPr>
            <w:tcW w:w="7371" w:type="dxa"/>
            <w:tcBorders>
              <w:top w:val="thinThickSmallGap" w:color="009999" w:sz="2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内        容</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32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bookmarkStart w:id="0" w:name="_Toc293774518"/>
            <w:r>
              <w:rPr>
                <w:rFonts w:hint="eastAsia" w:ascii="宋体" w:hAnsi="宋体" w:cs="宋体"/>
                <w:sz w:val="24"/>
                <w:szCs w:val="24"/>
              </w:rPr>
              <w:t>建筑面积</w:t>
            </w:r>
            <w:bookmarkEnd w:id="0"/>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cs="宋体"/>
                <w:sz w:val="24"/>
                <w:szCs w:val="24"/>
                <w:lang w:val="en-US" w:eastAsia="zh-CN"/>
              </w:rPr>
              <w:t>1006</w:t>
            </w:r>
            <w:r>
              <w:rPr>
                <w:rFonts w:hint="eastAsia" w:ascii="宋体" w:hAnsi="宋体" w:cs="宋体"/>
                <w:sz w:val="24"/>
                <w:szCs w:val="24"/>
              </w:rPr>
              <w:t>m</w:t>
            </w:r>
            <w:r>
              <w:rPr>
                <w:rFonts w:hint="eastAsia" w:ascii="宋体" w:hAnsi="宋体" w:cs="宋体"/>
                <w:sz w:val="24"/>
                <w:szCs w:val="24"/>
                <w:vertAlign w:val="superscript"/>
              </w:rPr>
              <w:t>2</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55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建筑层数</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地</w:t>
            </w:r>
            <w:r>
              <w:rPr>
                <w:rFonts w:hint="eastAsia" w:ascii="宋体" w:hAnsi="宋体" w:cs="宋体"/>
                <w:sz w:val="24"/>
                <w:szCs w:val="24"/>
                <w:lang w:val="en-US" w:eastAsia="zh-CN"/>
              </w:rPr>
              <w:t>上</w:t>
            </w:r>
            <w:r>
              <w:rPr>
                <w:rFonts w:hint="eastAsia" w:ascii="宋体" w:hAnsi="宋体" w:cs="宋体"/>
                <w:sz w:val="24"/>
                <w:szCs w:val="24"/>
              </w:rPr>
              <w:t>2层</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37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建筑层高</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首层</w:t>
            </w:r>
            <w:r>
              <w:rPr>
                <w:rFonts w:hint="eastAsia" w:cs="宋体"/>
                <w:sz w:val="24"/>
                <w:szCs w:val="24"/>
                <w:lang w:val="en-US" w:eastAsia="zh-CN"/>
              </w:rPr>
              <w:t>3.9</w:t>
            </w:r>
            <w:r>
              <w:rPr>
                <w:rFonts w:hint="eastAsia" w:ascii="宋体" w:hAnsi="宋体" w:cs="宋体"/>
                <w:sz w:val="24"/>
                <w:szCs w:val="24"/>
              </w:rPr>
              <w:t>m；2层</w:t>
            </w:r>
            <w:r>
              <w:rPr>
                <w:rFonts w:hint="eastAsia" w:cs="宋体"/>
                <w:sz w:val="24"/>
                <w:szCs w:val="24"/>
                <w:lang w:val="en-US" w:eastAsia="zh-CN"/>
              </w:rPr>
              <w:t>5.1</w:t>
            </w:r>
            <w:r>
              <w:rPr>
                <w:rFonts w:hint="eastAsia" w:ascii="宋体" w:hAnsi="宋体" w:cs="宋体"/>
                <w:sz w:val="24"/>
                <w:szCs w:val="24"/>
              </w:rPr>
              <w:t>m；</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32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建筑高程</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±0.000相当于绝对标高</w:t>
            </w:r>
            <w:r>
              <w:rPr>
                <w:rFonts w:hint="eastAsia" w:cs="宋体"/>
                <w:sz w:val="24"/>
                <w:szCs w:val="24"/>
                <w:lang w:val="en-US" w:eastAsia="zh-CN"/>
              </w:rPr>
              <w:t>1121.300</w:t>
            </w:r>
            <w:r>
              <w:rPr>
                <w:rFonts w:hint="eastAsia" w:ascii="宋体" w:hAnsi="宋体" w:cs="宋体"/>
                <w:sz w:val="24"/>
                <w:szCs w:val="24"/>
              </w:rPr>
              <w:t>m</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55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室内外高差</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bookmarkStart w:id="1" w:name="_Toc293774555"/>
            <w:r>
              <w:rPr>
                <w:rFonts w:hint="eastAsia" w:ascii="宋体" w:hAnsi="宋体" w:cs="宋体"/>
                <w:sz w:val="24"/>
                <w:szCs w:val="24"/>
              </w:rPr>
              <w:t>-0.</w:t>
            </w:r>
            <w:bookmarkEnd w:id="1"/>
            <w:r>
              <w:rPr>
                <w:rFonts w:hint="eastAsia" w:cs="宋体"/>
                <w:sz w:val="24"/>
                <w:szCs w:val="24"/>
                <w:lang w:val="en-US" w:eastAsia="zh-CN"/>
              </w:rPr>
              <w:t>3</w:t>
            </w:r>
            <w:r>
              <w:rPr>
                <w:rFonts w:hint="eastAsia" w:ascii="宋体" w:hAnsi="宋体" w:cs="宋体"/>
                <w:sz w:val="24"/>
                <w:szCs w:val="24"/>
              </w:rPr>
              <w:t>m</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516" w:hRule="atLeast"/>
          <w:jc w:val="center"/>
        </w:trPr>
        <w:tc>
          <w:tcPr>
            <w:tcW w:w="1464" w:type="dxa"/>
            <w:tcBorders>
              <w:top w:val="single" w:color="009999" w:sz="4" w:space="0"/>
              <w:left w:val="thinThickSmallGap" w:color="009999" w:sz="24" w:space="0"/>
              <w:bottom w:val="thinThickSmallGap" w:color="009999" w:sz="2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建筑高度</w:t>
            </w:r>
          </w:p>
        </w:tc>
        <w:tc>
          <w:tcPr>
            <w:tcW w:w="7371" w:type="dxa"/>
            <w:tcBorders>
              <w:top w:val="single" w:color="009999" w:sz="4" w:space="0"/>
              <w:left w:val="single" w:color="009999" w:sz="4" w:space="0"/>
              <w:bottom w:val="thinThickSmallGap" w:color="009999" w:sz="2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cs="宋体"/>
                <w:sz w:val="24"/>
                <w:szCs w:val="24"/>
                <w:lang w:val="en-US" w:eastAsia="zh-CN"/>
              </w:rPr>
              <w:t>9.3</w:t>
            </w:r>
            <w:r>
              <w:rPr>
                <w:rFonts w:hint="eastAsia" w:ascii="宋体" w:hAnsi="宋体" w:cs="宋体"/>
                <w:sz w:val="24"/>
                <w:szCs w:val="24"/>
              </w:rPr>
              <w:t>m</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编制依据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依据规范《民用建筑隔声设计规范》GB50118-2010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三、声环境分析概述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声环境是环境物理中的 声环境就是通过入耳所感知的周围声音活动的状况， 声环境的范畴。建立良好的建筑声环境目的是创一致下数 大水印造符合人们听闻要求的舒适环境。建筑声环境有两个部分组成；室内声环境和室外声环境。我们要创造一个良好的室内声环境，必须控制室外噪声源(主要是道路交通噪声)的干扰，切断传播途径，减小建筑内部社会生活噪声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四、声环境分析情况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eastAsiaTheme="minorEastAsia"/>
          <w:lang w:val="en-US" w:eastAsia="zh-CN"/>
        </w:rPr>
      </w:pPr>
      <w:r>
        <w:rPr>
          <w:rFonts w:hint="eastAsia"/>
          <w:sz w:val="24"/>
          <w:szCs w:val="24"/>
          <w:lang w:val="en-US" w:eastAsia="zh-CN"/>
        </w:rPr>
        <w:t>1.</w:t>
      </w:r>
      <w:r>
        <w:rPr>
          <w:rFonts w:hint="eastAsia" w:ascii="微软雅黑" w:hAnsi="微软雅黑" w:eastAsia="微软雅黑" w:cs="微软雅黑"/>
          <w:b w:val="0"/>
          <w:bCs w:val="0"/>
          <w:sz w:val="24"/>
          <w:szCs w:val="24"/>
          <w:lang w:val="en-US" w:eastAsia="zh-CN"/>
        </w:rPr>
        <w:t>定点噪声值满足《民用建筑隔声设计规范》（GB50118-2010）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eastAsiaTheme="minorEastAsia"/>
          <w:lang w:eastAsia="zh-CN"/>
        </w:rPr>
      </w:pPr>
      <w:r>
        <w:rPr>
          <w:rFonts w:hint="eastAsia" w:eastAsiaTheme="minorEastAsia"/>
          <w:lang w:eastAsia="zh-CN"/>
        </w:rPr>
        <w:drawing>
          <wp:inline distT="0" distB="0" distL="114300" distR="114300">
            <wp:extent cx="5317490" cy="2112645"/>
            <wp:effectExtent l="0" t="0" r="3810" b="8255"/>
            <wp:docPr id="2" name="图片 2" descr="4aee526079d4ec612edae7972e7f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ee526079d4ec612edae7972e7f381"/>
                    <pic:cNvPicPr>
                      <a:picLocks noChangeAspect="1"/>
                    </pic:cNvPicPr>
                  </pic:nvPicPr>
                  <pic:blipFill>
                    <a:blip r:embed="rId4"/>
                    <a:stretch>
                      <a:fillRect/>
                    </a:stretch>
                  </pic:blipFill>
                  <pic:spPr>
                    <a:xfrm>
                      <a:off x="0" y="0"/>
                      <a:ext cx="5317490" cy="21126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该项目位于贵州省贵阳市。依据本项目周边道路实际情况、对噪声预测值进行边界噪声设置，该项目周边有一条道路（十号路），依据《民用建筑隔声设计规范》GB50118-2010噪声值，对建筑进行隔声修建，现满足《民用建筑隔声设计规范》GB50118-2010噪声值。</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4"/>
          <w:szCs w:val="24"/>
          <w:lang w:val="en-US" w:eastAsia="zh-CN"/>
        </w:rPr>
      </w:pPr>
      <w:r>
        <w:rPr>
          <w:rFonts w:hint="default"/>
          <w:lang w:val="en-US" w:eastAsia="zh-CN"/>
        </w:rPr>
        <w:drawing>
          <wp:inline distT="0" distB="0" distL="114300" distR="114300">
            <wp:extent cx="5268595" cy="1778000"/>
            <wp:effectExtent l="0" t="0" r="1905" b="0"/>
            <wp:docPr id="5" name="图片 5" descr="71f9419ec83d8fd67f07b9b408f0b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1f9419ec83d8fd67f07b9b408f0b2a"/>
                    <pic:cNvPicPr>
                      <a:picLocks noChangeAspect="1"/>
                    </pic:cNvPicPr>
                  </pic:nvPicPr>
                  <pic:blipFill>
                    <a:blip r:embed="rId5"/>
                    <a:stretch>
                      <a:fillRect/>
                    </a:stretch>
                  </pic:blipFill>
                  <pic:spPr>
                    <a:xfrm>
                      <a:off x="0" y="0"/>
                      <a:ext cx="5268595" cy="17780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微软雅黑" w:hAnsi="微软雅黑" w:eastAsia="微软雅黑" w:cs="微软雅黑"/>
          <w:b w:val="0"/>
          <w:bCs w:val="0"/>
          <w:sz w:val="28"/>
          <w:szCs w:val="28"/>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300355</wp:posOffset>
            </wp:positionV>
            <wp:extent cx="5648325" cy="2103120"/>
            <wp:effectExtent l="0" t="0" r="3175" b="5080"/>
            <wp:wrapSquare wrapText="bothSides"/>
            <wp:docPr id="6" name="图片 6" descr="1815a039aa8e6b7743dacca2f9d3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815a039aa8e6b7743dacca2f9d3bad"/>
                    <pic:cNvPicPr>
                      <a:picLocks noChangeAspect="1"/>
                    </pic:cNvPicPr>
                  </pic:nvPicPr>
                  <pic:blipFill>
                    <a:blip r:embed="rId6"/>
                    <a:stretch>
                      <a:fillRect/>
                    </a:stretch>
                  </pic:blipFill>
                  <pic:spPr>
                    <a:xfrm>
                      <a:off x="0" y="0"/>
                      <a:ext cx="5648325" cy="2103120"/>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（夜）</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在交通交汇处或道路旁加大建筑退缩，并用以作为绿化，有效改善敏感处声环境。例如在平新路沿线采取种植高大乔木或者中型乔木等绿化措施。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本项目采用lew-e中空玻璃进行隔声，中空玻璃的隔声量在32dB左右，但为了更好的隔声，注意避免吻合效应。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8"/>
          <w:szCs w:val="28"/>
          <w:lang w:val="en-US" w:eastAsia="zh-CN"/>
        </w:rPr>
      </w:pPr>
      <w:r>
        <w:rPr>
          <w:rFonts w:hint="default"/>
          <w:lang w:val="en-US" w:eastAsia="zh-CN"/>
        </w:rPr>
        <w:drawing>
          <wp:inline distT="0" distB="0" distL="114300" distR="114300">
            <wp:extent cx="5269865" cy="5455285"/>
            <wp:effectExtent l="0" t="0" r="635" b="5715"/>
            <wp:docPr id="3" name="图片 3" descr="c3893db1d6acee28090590b520e6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3893db1d6acee28090590b520e6e8e"/>
                    <pic:cNvPicPr>
                      <a:picLocks noChangeAspect="1"/>
                    </pic:cNvPicPr>
                  </pic:nvPicPr>
                  <pic:blipFill>
                    <a:blip r:embed="rId7"/>
                    <a:stretch>
                      <a:fillRect/>
                    </a:stretch>
                  </pic:blipFill>
                  <pic:spPr>
                    <a:xfrm>
                      <a:off x="0" y="0"/>
                      <a:ext cx="5269865" cy="54552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5.影响声环境采取措施：在沿道路侧的办公楼外围可以考虑加强围护结构方面的隔声措施。可以改善门缝的密封措施，对于同样的门和门框，采用不同的门密封方式时隔声量相差可以达到10dB以上，密封条可以采用海绵橡胶条、乳胶条、硅胶条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p>
    <w:p>
      <w:pPr>
        <w:jc w:val="both"/>
        <w:rPr>
          <w:rFonts w:hint="default" w:ascii="微软雅黑" w:hAnsi="微软雅黑" w:eastAsia="微软雅黑" w:cs="微软雅黑"/>
          <w:b w:val="0"/>
          <w:bCs w:val="0"/>
          <w:sz w:val="28"/>
          <w:szCs w:val="28"/>
          <w:lang w:val="en-US" w:eastAsia="zh-CN"/>
        </w:rPr>
      </w:pPr>
    </w:p>
    <w:p>
      <w:pPr>
        <w:jc w:val="center"/>
        <w:rPr>
          <w:rFonts w:hint="default" w:ascii="微软雅黑" w:hAnsi="微软雅黑" w:eastAsia="微软雅黑" w:cs="微软雅黑"/>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95040"/>
    <w:multiLevelType w:val="singleLevel"/>
    <w:tmpl w:val="DDA95040"/>
    <w:lvl w:ilvl="0" w:tentative="0">
      <w:start w:val="3"/>
      <w:numFmt w:val="decimal"/>
      <w:lvlText w:val="%1."/>
      <w:lvlJc w:val="left"/>
      <w:pPr>
        <w:tabs>
          <w:tab w:val="left" w:pos="312"/>
        </w:tabs>
      </w:pPr>
    </w:lvl>
  </w:abstractNum>
  <w:abstractNum w:abstractNumId="1">
    <w:nsid w:val="6CB14877"/>
    <w:multiLevelType w:val="singleLevel"/>
    <w:tmpl w:val="6CB1487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YTRmNjU1N2VlYjBmZDdjN2FhNzU5OTQwZDBkZGMifQ=="/>
  </w:docVars>
  <w:rsids>
    <w:rsidRoot w:val="7FF9425B"/>
    <w:rsid w:val="1D204956"/>
    <w:rsid w:val="41986A62"/>
    <w:rsid w:val="612E19AB"/>
    <w:rsid w:val="683010FE"/>
    <w:rsid w:val="770214B0"/>
    <w:rsid w:val="7FF9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 缩进图表 + 首行缩进:  2 字符"/>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727</Words>
  <Characters>826</Characters>
  <Lines>0</Lines>
  <Paragraphs>0</Paragraphs>
  <TotalTime>1</TotalTime>
  <ScaleCrop>false</ScaleCrop>
  <LinksUpToDate>false</LinksUpToDate>
  <CharactersWithSpaces>838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2023-03-04T10:56:00Z</dcterms:created>
  <dc:creator>HP</dc:creator>
  <cp:lastModifiedBy>李小向</cp:lastModifiedBy>
  <dcterms:modified xsi:type="dcterms:W3CDTF">2023-03-06T12:30:41Z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9B20C137AD494E06B8F057739DCC7F87</vt:lpwstr>
  </property>
</Properties>
</file>