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kern w:val="0"/>
          <w:sz w:val="72"/>
          <w:szCs w:val="72"/>
          <w:lang w:val="en-GB"/>
        </w:rPr>
      </w:pPr>
    </w:p>
    <w:p>
      <w:pPr>
        <w:jc w:val="center"/>
        <w:rPr>
          <w:rFonts w:ascii="黑体" w:hAnsi="宋体" w:eastAsia="黑体"/>
          <w:b/>
          <w:bCs/>
          <w:kern w:val="0"/>
          <w:sz w:val="72"/>
          <w:szCs w:val="72"/>
          <w:lang w:val="en-GB"/>
        </w:rPr>
      </w:pPr>
      <w:r>
        <w:rPr>
          <w:rFonts w:hint="eastAsia" w:ascii="黑体" w:hAnsi="宋体" w:eastAsia="黑体"/>
          <w:b/>
          <w:bCs/>
          <w:kern w:val="0"/>
          <w:sz w:val="72"/>
          <w:szCs w:val="72"/>
          <w:lang w:val="en-GB"/>
        </w:rPr>
        <w:t>室内空气质量预评估</w:t>
      </w:r>
    </w:p>
    <w:p>
      <w:pPr>
        <w:jc w:val="center"/>
        <w:rPr>
          <w:rFonts w:ascii="黑体" w:hAnsi="宋体" w:eastAsia="黑体"/>
          <w:b/>
          <w:bCs/>
          <w:kern w:val="0"/>
          <w:sz w:val="72"/>
          <w:szCs w:val="72"/>
          <w:lang w:val="en-GB"/>
        </w:rPr>
      </w:pPr>
      <w:r>
        <w:rPr>
          <w:rFonts w:hint="eastAsia" w:ascii="黑体" w:hAnsi="宋体" w:eastAsia="黑体"/>
          <w:b/>
          <w:bCs/>
          <w:kern w:val="0"/>
          <w:sz w:val="72"/>
          <w:szCs w:val="72"/>
          <w:lang w:val="en-GB"/>
        </w:rPr>
        <w:t>报告书</w:t>
      </w:r>
    </w:p>
    <w:p>
      <w:pPr>
        <w:jc w:val="center"/>
        <w:rPr>
          <w:b/>
          <w:sz w:val="52"/>
          <w:szCs w:val="21"/>
        </w:rPr>
      </w:pPr>
      <w:r>
        <w:rPr>
          <w:rFonts w:hint="eastAsia" w:ascii="黑体" w:hAnsi="宋体" w:eastAsia="黑体"/>
          <w:b/>
          <w:bCs/>
          <w:kern w:val="0"/>
          <w:sz w:val="56"/>
          <w:szCs w:val="56"/>
          <w:lang w:val="en-GB"/>
        </w:rPr>
        <w:t>可吸入颗粒物</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eastAsia="宋体"/>
                <w:b/>
                <w:bCs/>
                <w:szCs w:val="21"/>
              </w:rPr>
            </w:pPr>
            <w:r>
              <w:rPr>
                <w:rFonts w:hint="eastAsia" w:ascii="宋体" w:hAnsi="宋体" w:eastAsia="宋体"/>
                <w:b/>
                <w:bCs/>
                <w:sz w:val="21"/>
                <w:szCs w:val="21"/>
              </w:rPr>
              <w:t>项目名称</w:t>
            </w:r>
          </w:p>
        </w:tc>
        <w:tc>
          <w:tcPr>
            <w:tcW w:w="3780" w:type="dxa"/>
          </w:tcPr>
          <w:p>
            <w:pPr>
              <w:pStyle w:val="14"/>
              <w:tabs>
                <w:tab w:val="clear" w:pos="4153"/>
                <w:tab w:val="clear" w:pos="8306"/>
              </w:tabs>
              <w:snapToGrid/>
              <w:jc w:val="both"/>
              <w:rPr>
                <w:rFonts w:hint="default" w:ascii="宋体" w:hAnsi="宋体" w:eastAsia="宋体"/>
                <w:szCs w:val="21"/>
                <w:lang w:val="en-US" w:eastAsia="zh-CN"/>
              </w:rPr>
            </w:pPr>
            <w:bookmarkStart w:id="0" w:name="项目名称"/>
            <w:bookmarkEnd w:id="0"/>
            <w:r>
              <w:rPr>
                <w:rFonts w:hint="eastAsia" w:ascii="宋体" w:hAnsi="宋体" w:eastAsia="宋体"/>
                <w:szCs w:val="21"/>
                <w:lang w:val="en-US" w:eastAsia="zh-CN"/>
              </w:rPr>
              <w:t>贵阳市某休闲中心办公楼暖通空调工程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工程地点</w:t>
            </w:r>
          </w:p>
        </w:tc>
        <w:tc>
          <w:tcPr>
            <w:tcW w:w="3780" w:type="dxa"/>
          </w:tcPr>
          <w:p>
            <w:pPr>
              <w:rPr>
                <w:rFonts w:hint="eastAsia" w:ascii="宋体" w:hAnsi="宋体" w:eastAsia="宋体"/>
                <w:szCs w:val="21"/>
                <w:lang w:val="en-US" w:eastAsia="zh-CN"/>
              </w:rPr>
            </w:pPr>
            <w:bookmarkStart w:id="1" w:name="项目地点"/>
            <w:bookmarkEnd w:id="1"/>
            <w:r>
              <w:rPr>
                <w:rFonts w:hint="eastAsia" w:ascii="宋体" w:hAnsi="宋体" w:eastAsia="宋体"/>
                <w:szCs w:val="21"/>
                <w:lang w:val="en-US" w:eastAsia="zh-CN"/>
              </w:rPr>
              <w:t>贵阳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设计编号</w:t>
            </w:r>
          </w:p>
        </w:tc>
        <w:tc>
          <w:tcPr>
            <w:tcW w:w="3780" w:type="dxa"/>
          </w:tcPr>
          <w:p>
            <w:pPr>
              <w:rPr>
                <w:rFonts w:hint="default" w:ascii="宋体" w:hAnsi="宋体" w:eastAsia="宋体"/>
                <w:szCs w:val="21"/>
                <w:lang w:val="en-US" w:eastAsia="zh-CN"/>
              </w:rPr>
            </w:pPr>
            <w:bookmarkStart w:id="2" w:name="设计编号"/>
            <w:bookmarkEnd w:id="2"/>
            <w:r>
              <w:rPr>
                <w:rFonts w:hint="eastAsia" w:ascii="宋体" w:hAnsi="宋体" w:eastAsia="宋体"/>
                <w:szCs w:val="21"/>
                <w:lang w:val="en-US" w:eastAsia="zh-CN"/>
              </w:rPr>
              <w:t>BKB50037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建设单位</w:t>
            </w:r>
          </w:p>
        </w:tc>
        <w:tc>
          <w:tcPr>
            <w:tcW w:w="3780" w:type="dxa"/>
          </w:tcPr>
          <w:p>
            <w:pPr>
              <w:rPr>
                <w:rFonts w:ascii="宋体" w:hAnsi="宋体" w:eastAsia="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设计单位</w:t>
            </w:r>
          </w:p>
        </w:tc>
        <w:tc>
          <w:tcPr>
            <w:tcW w:w="3780" w:type="dxa"/>
          </w:tcPr>
          <w:p>
            <w:pPr>
              <w:rPr>
                <w:rFonts w:ascii="宋体" w:hAnsi="宋体" w:eastAsia="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 计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校 对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核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定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rFonts w:ascii="宋体" w:hAnsi="宋体" w:eastAsia="宋体"/>
                <w:b/>
                <w:bCs/>
                <w:szCs w:val="21"/>
              </w:rPr>
            </w:pPr>
            <w:r>
              <w:rPr>
                <w:rFonts w:hint="eastAsia" w:ascii="宋体" w:hAnsi="宋体" w:eastAsia="宋体"/>
                <w:b/>
                <w:bCs/>
                <w:szCs w:val="21"/>
              </w:rPr>
              <w:t>设计日期</w:t>
            </w:r>
          </w:p>
        </w:tc>
        <w:tc>
          <w:tcPr>
            <w:tcW w:w="3780" w:type="dxa"/>
          </w:tcPr>
          <w:p>
            <w:pPr>
              <w:rPr>
                <w:rFonts w:ascii="宋体" w:hAnsi="宋体" w:eastAsia="宋体"/>
                <w:szCs w:val="21"/>
              </w:rPr>
            </w:pPr>
            <w:bookmarkStart w:id="5" w:name="报告日期"/>
            <w:r>
              <w:rPr>
                <w:rFonts w:hint="eastAsia" w:ascii="宋体" w:hAnsi="宋体" w:eastAsia="宋体"/>
                <w:szCs w:val="21"/>
              </w:rPr>
              <w:t>202</w:t>
            </w:r>
            <w:r>
              <w:rPr>
                <w:rFonts w:hint="eastAsia" w:ascii="宋体" w:hAnsi="宋体" w:eastAsia="宋体"/>
                <w:szCs w:val="21"/>
                <w:lang w:val="en-US" w:eastAsia="zh-CN"/>
              </w:rPr>
              <w:t>3</w:t>
            </w:r>
            <w:r>
              <w:rPr>
                <w:rFonts w:hint="eastAsia" w:ascii="宋体" w:hAnsi="宋体" w:eastAsia="宋体"/>
                <w:szCs w:val="21"/>
              </w:rPr>
              <w:t>年2月10日</w:t>
            </w:r>
            <w:bookmarkEnd w:id="5"/>
          </w:p>
        </w:tc>
      </w:tr>
    </w:tbl>
    <w:p>
      <w:pPr>
        <w:jc w:val="center"/>
        <w:rPr>
          <w:rFonts w:ascii="宋体" w:hAnsi="宋体" w:eastAsia="宋体"/>
          <w:b/>
          <w:sz w:val="56"/>
        </w:rPr>
      </w:pPr>
      <w:bookmarkStart w:id="6" w:name="二维码"/>
      <w:bookmarkEnd w:id="6"/>
      <w:r>
        <w:drawing>
          <wp:inline distT="0" distB="0" distL="0" distR="0">
            <wp:extent cx="1514475" cy="151447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b/>
          <w:sz w:val="56"/>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采用软件</w:t>
            </w:r>
          </w:p>
        </w:tc>
        <w:tc>
          <w:tcPr>
            <w:tcW w:w="3780" w:type="dxa"/>
            <w:shd w:val="clear" w:color="auto" w:fill="auto"/>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绿建斯维尔</w:t>
            </w:r>
            <w:bookmarkStart w:id="7" w:name="采用软件"/>
            <w:r>
              <w:rPr>
                <w:rFonts w:hint="eastAsia" w:ascii="宋体" w:hAnsi="宋体" w:eastAsia="宋体" w:cs="Times New Roman"/>
                <w:kern w:val="0"/>
                <w:sz w:val="18"/>
                <w:szCs w:val="18"/>
                <w:lang w:val="en-GB"/>
              </w:rPr>
              <w:t>建筑通风Vent2020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ascii="宋体" w:hAnsi="宋体" w:eastAsia="宋体" w:cs="Times New Roman"/>
                <w:kern w:val="0"/>
                <w:sz w:val="18"/>
                <w:szCs w:val="18"/>
                <w:lang w:val="en-GB"/>
              </w:rPr>
            </w:pPr>
            <w:bookmarkStart w:id="8" w:name="软件版本"/>
            <w:r>
              <w:rPr>
                <w:rFonts w:ascii="宋体" w:hAnsi="宋体" w:eastAsia="宋体" w:cs="Times New Roman"/>
                <w:kern w:val="0"/>
                <w:sz w:val="18"/>
                <w:szCs w:val="18"/>
                <w:lang w:val="en-GB"/>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ascii="宋体" w:hAnsi="宋体" w:eastAsia="宋体" w:cs="Times New Roman"/>
                <w:kern w:val="0"/>
                <w:sz w:val="18"/>
                <w:szCs w:val="18"/>
                <w:lang w:val="en-GB"/>
              </w:rPr>
            </w:pPr>
            <w:r>
              <w:rPr>
                <w:rFonts w:ascii="宋体" w:hAnsi="宋体" w:eastAsia="宋体" w:cs="Times New Roman"/>
                <w:kern w:val="0"/>
                <w:sz w:val="18"/>
                <w:szCs w:val="18"/>
                <w:lang w:val="en-GB"/>
              </w:rPr>
              <w:t>北京绿建软件</w:t>
            </w:r>
            <w:r>
              <w:rPr>
                <w:rFonts w:hint="eastAsia" w:ascii="宋体" w:hAnsi="宋体" w:eastAsia="宋体" w:cs="Times New Roman"/>
                <w:kern w:val="0"/>
                <w:sz w:val="18"/>
                <w:szCs w:val="18"/>
                <w:lang w:val="en-GB"/>
              </w:rPr>
              <w:t>股份</w:t>
            </w:r>
            <w:r>
              <w:rPr>
                <w:rFonts w:ascii="宋体" w:hAnsi="宋体" w:eastAsia="宋体"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rFonts w:ascii="宋体" w:hAnsi="宋体"/>
                <w:szCs w:val="18"/>
              </w:rPr>
            </w:pPr>
            <w:bookmarkStart w:id="9" w:name="加密锁号"/>
            <w:r>
              <w:t>N99EFEE993A7B4587</w:t>
            </w:r>
            <w:bookmarkEnd w:id="9"/>
          </w:p>
        </w:tc>
      </w:tr>
    </w:tbl>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_Toc7407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_Toc7407 \h </w:instrText>
      </w:r>
      <w:r>
        <w:fldChar w:fldCharType="separate"/>
      </w:r>
      <w:r>
        <w:t>3</w:t>
      </w:r>
      <w:r>
        <w:fldChar w:fldCharType="end"/>
      </w:r>
      <w:r>
        <w:rPr>
          <w:rFonts w:ascii="Calibri" w:hAnsi="Calibri"/>
          <w:caps/>
          <w:szCs w:val="20"/>
        </w:rPr>
        <w:fldChar w:fldCharType="end"/>
      </w:r>
    </w:p>
    <w:p>
      <w:pPr>
        <w:pStyle w:val="17"/>
        <w:tabs>
          <w:tab w:val="right" w:leader="dot" w:pos="7910"/>
        </w:tabs>
      </w:pPr>
      <w:r>
        <w:rPr>
          <w:bCs/>
          <w:lang w:val="zh-CN"/>
        </w:rPr>
        <w:fldChar w:fldCharType="begin"/>
      </w:r>
      <w:r>
        <w:rPr>
          <w:bCs/>
          <w:lang w:val="zh-CN"/>
        </w:rPr>
        <w:instrText xml:space="preserve"> HYPERLINK \l _Toc12229 </w:instrText>
      </w:r>
      <w:r>
        <w:rPr>
          <w:bCs/>
          <w:lang w:val="zh-CN"/>
        </w:rPr>
        <w:fldChar w:fldCharType="separate"/>
      </w:r>
      <w:r>
        <w:rPr>
          <w:rFonts w:hint="eastAsia"/>
          <w:szCs w:val="24"/>
        </w:rPr>
        <w:t>1.1 建筑基本信息</w:t>
      </w:r>
      <w:r>
        <w:tab/>
      </w:r>
      <w:r>
        <w:fldChar w:fldCharType="begin"/>
      </w:r>
      <w:r>
        <w:instrText xml:space="preserve"> PAGEREF _Toc12229 \h </w:instrText>
      </w:r>
      <w:r>
        <w:fldChar w:fldCharType="separate"/>
      </w:r>
      <w:r>
        <w:t>3</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_Toc14614 </w:instrText>
      </w:r>
      <w:r>
        <w:rPr>
          <w:bCs/>
          <w:lang w:val="zh-CN"/>
        </w:rPr>
        <w:fldChar w:fldCharType="separate"/>
      </w:r>
      <w:r>
        <w:rPr>
          <w:rFonts w:hint="eastAsia"/>
          <w:szCs w:val="24"/>
        </w:rPr>
        <w:t>1.2 建筑</w:t>
      </w:r>
      <w:r>
        <w:rPr>
          <w:rFonts w:hint="eastAsia"/>
          <w:szCs w:val="24"/>
          <w:lang w:eastAsia="zh-CN"/>
        </w:rPr>
        <w:t>平面</w:t>
      </w:r>
      <w:r>
        <w:rPr>
          <w:rFonts w:hint="eastAsia"/>
          <w:szCs w:val="24"/>
        </w:rPr>
        <w:t>图</w:t>
      </w:r>
      <w:r>
        <w:tab/>
      </w:r>
      <w:r>
        <w:fldChar w:fldCharType="begin"/>
      </w:r>
      <w:r>
        <w:instrText xml:space="preserve"> PAGEREF _Toc14614 \h </w:instrText>
      </w:r>
      <w:r>
        <w:fldChar w:fldCharType="separate"/>
      </w:r>
      <w:r>
        <w:t>3</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_Toc3477 </w:instrText>
      </w:r>
      <w:r>
        <w:rPr>
          <w:bCs/>
          <w:lang w:val="zh-CN"/>
        </w:rPr>
        <w:fldChar w:fldCharType="separate"/>
      </w:r>
      <w:r>
        <w:rPr>
          <w:rFonts w:hint="eastAsia" w:ascii="Times New Roman" w:hAnsi="Times New Roman" w:cs="Times New Roman"/>
          <w:lang w:val="zh-CN" w:eastAsia="zh-CN"/>
        </w:rPr>
        <w:t xml:space="preserve">1.3 </w:t>
      </w:r>
      <w:r>
        <w:rPr>
          <w:rFonts w:hint="eastAsia"/>
          <w:szCs w:val="24"/>
        </w:rPr>
        <w:t>建筑三维轴测图</w:t>
      </w:r>
      <w:r>
        <w:tab/>
      </w:r>
      <w:r>
        <w:fldChar w:fldCharType="begin"/>
      </w:r>
      <w:r>
        <w:instrText xml:space="preserve"> PAGEREF _Toc3477 \h </w:instrText>
      </w:r>
      <w:r>
        <w:fldChar w:fldCharType="separate"/>
      </w:r>
      <w:r>
        <w:t>5</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_Toc23795 </w:instrText>
      </w:r>
      <w:r>
        <w:rPr>
          <w:bCs/>
          <w:lang w:val="zh-CN"/>
        </w:rPr>
        <w:fldChar w:fldCharType="separate"/>
      </w:r>
      <w:r>
        <w:rPr>
          <w:rFonts w:hint="eastAsia" w:ascii="黑体" w:hAnsi="黑体"/>
          <w:kern w:val="32"/>
          <w:szCs w:val="28"/>
        </w:rPr>
        <w:t>1.4 参考标准</w:t>
      </w:r>
      <w:r>
        <w:tab/>
      </w:r>
      <w:r>
        <w:fldChar w:fldCharType="begin"/>
      </w:r>
      <w:r>
        <w:instrText xml:space="preserve"> PAGEREF _Toc23795 \h </w:instrText>
      </w:r>
      <w:r>
        <w:fldChar w:fldCharType="separate"/>
      </w:r>
      <w:r>
        <w:t>5</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_Toc28089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评价标准</w:t>
      </w:r>
      <w:r>
        <w:tab/>
      </w:r>
      <w:r>
        <w:fldChar w:fldCharType="begin"/>
      </w:r>
      <w:r>
        <w:instrText xml:space="preserve"> PAGEREF _Toc28089 \h </w:instrText>
      </w:r>
      <w:r>
        <w:fldChar w:fldCharType="separate"/>
      </w:r>
      <w:r>
        <w:t>5</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_Toc20086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计算原理</w:t>
      </w:r>
      <w:r>
        <w:tab/>
      </w:r>
      <w:r>
        <w:fldChar w:fldCharType="begin"/>
      </w:r>
      <w:r>
        <w:instrText xml:space="preserve"> PAGEREF _Toc20086 \h </w:instrText>
      </w:r>
      <w:r>
        <w:fldChar w:fldCharType="separate"/>
      </w:r>
      <w:r>
        <w:t>6</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_Toc1025 </w:instrText>
      </w:r>
      <w:r>
        <w:rPr>
          <w:bCs/>
          <w:lang w:val="zh-CN"/>
        </w:rPr>
        <w:fldChar w:fldCharType="separate"/>
      </w:r>
      <w:r>
        <w:rPr>
          <w:rFonts w:hint="default" w:ascii="Arial" w:hAnsi="Arial" w:eastAsia="宋体"/>
          <w:kern w:val="32"/>
          <w:szCs w:val="28"/>
        </w:rPr>
        <w:t xml:space="preserve">4 </w:t>
      </w:r>
      <w:r>
        <w:rPr>
          <w:rFonts w:hint="eastAsia" w:eastAsia="宋体"/>
          <w:kern w:val="32"/>
          <w:szCs w:val="28"/>
        </w:rPr>
        <w:t>计算参数</w:t>
      </w:r>
      <w:r>
        <w:tab/>
      </w:r>
      <w:r>
        <w:fldChar w:fldCharType="begin"/>
      </w:r>
      <w:r>
        <w:instrText xml:space="preserve"> PAGEREF _Toc1025 \h </w:instrText>
      </w:r>
      <w:r>
        <w:fldChar w:fldCharType="separate"/>
      </w:r>
      <w:r>
        <w:t>7</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_Toc26957 </w:instrText>
      </w:r>
      <w:r>
        <w:rPr>
          <w:bCs/>
          <w:lang w:val="zh-CN"/>
        </w:rPr>
        <w:fldChar w:fldCharType="separate"/>
      </w:r>
      <w:r>
        <w:rPr>
          <w:rFonts w:hint="eastAsia"/>
          <w:szCs w:val="24"/>
        </w:rPr>
        <w:t>4.1 渗透风量</w:t>
      </w:r>
      <w:r>
        <w:tab/>
      </w:r>
      <w:r>
        <w:fldChar w:fldCharType="begin"/>
      </w:r>
      <w:r>
        <w:instrText xml:space="preserve"> PAGEREF _Toc26957 \h </w:instrText>
      </w:r>
      <w:r>
        <w:fldChar w:fldCharType="separate"/>
      </w:r>
      <w:r>
        <w:t>7</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_Toc16406 </w:instrText>
      </w:r>
      <w:r>
        <w:rPr>
          <w:bCs/>
          <w:lang w:val="zh-CN"/>
        </w:rPr>
        <w:fldChar w:fldCharType="separate"/>
      </w:r>
      <w:r>
        <w:rPr>
          <w:rFonts w:hint="eastAsia"/>
          <w:szCs w:val="24"/>
        </w:rPr>
        <w:t>4.2 室内颗粒物源强</w:t>
      </w:r>
      <w:r>
        <w:tab/>
      </w:r>
      <w:r>
        <w:fldChar w:fldCharType="begin"/>
      </w:r>
      <w:r>
        <w:instrText xml:space="preserve"> PAGEREF _Toc16406 \h </w:instrText>
      </w:r>
      <w:r>
        <w:fldChar w:fldCharType="separate"/>
      </w:r>
      <w:r>
        <w:t>7</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_Toc7776 </w:instrText>
      </w:r>
      <w:r>
        <w:rPr>
          <w:bCs/>
          <w:lang w:val="zh-CN"/>
        </w:rPr>
        <w:fldChar w:fldCharType="separate"/>
      </w:r>
      <w:r>
        <w:rPr>
          <w:rFonts w:hint="eastAsia"/>
          <w:szCs w:val="24"/>
        </w:rPr>
        <w:t>4.3 室外颗粒物污染源浓度</w:t>
      </w:r>
      <w:r>
        <w:tab/>
      </w:r>
      <w:r>
        <w:fldChar w:fldCharType="begin"/>
      </w:r>
      <w:r>
        <w:instrText xml:space="preserve"> PAGEREF _Toc7776 \h </w:instrText>
      </w:r>
      <w:r>
        <w:fldChar w:fldCharType="separate"/>
      </w:r>
      <w:r>
        <w:t>7</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_Toc14209 </w:instrText>
      </w:r>
      <w:r>
        <w:rPr>
          <w:bCs/>
          <w:lang w:val="zh-CN"/>
        </w:rPr>
        <w:fldChar w:fldCharType="separate"/>
      </w:r>
      <w:r>
        <w:rPr>
          <w:rFonts w:hint="default" w:ascii="Arial" w:hAnsi="Arial" w:eastAsia="宋体"/>
        </w:rPr>
        <w:t xml:space="preserve">5 </w:t>
      </w:r>
      <w:r>
        <w:rPr>
          <w:rFonts w:hint="eastAsia" w:ascii="黑体" w:hAnsi="黑体" w:eastAsia="黑体"/>
          <w:kern w:val="32"/>
          <w:szCs w:val="28"/>
        </w:rPr>
        <w:t>计算结果</w:t>
      </w:r>
      <w:r>
        <w:tab/>
      </w:r>
      <w:r>
        <w:fldChar w:fldCharType="begin"/>
      </w:r>
      <w:r>
        <w:instrText xml:space="preserve"> PAGEREF _Toc14209 \h </w:instrText>
      </w:r>
      <w:r>
        <w:fldChar w:fldCharType="separate"/>
      </w:r>
      <w:r>
        <w:t>7</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_Toc31830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结论</w:t>
      </w:r>
      <w:r>
        <w:tab/>
      </w:r>
      <w:r>
        <w:fldChar w:fldCharType="begin"/>
      </w:r>
      <w:r>
        <w:instrText xml:space="preserve"> PAGEREF _Toc31830 \h </w:instrText>
      </w:r>
      <w:r>
        <w:fldChar w:fldCharType="separate"/>
      </w:r>
      <w:r>
        <w:t>8</w:t>
      </w:r>
      <w:r>
        <w:fldChar w:fldCharType="end"/>
      </w:r>
      <w:r>
        <w:rPr>
          <w:bCs/>
          <w:lang w:val="zh-CN"/>
        </w:rP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bookmarkStart w:id="33" w:name="_GoBack"/>
    </w:p>
    <w:p>
      <w:pPr>
        <w:spacing w:line="360" w:lineRule="auto"/>
        <w:jc w:val="cente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7407"/>
      <w:r>
        <w:rPr>
          <w:rFonts w:hint="eastAsia" w:ascii="黑体" w:hAnsi="黑体" w:eastAsia="黑体"/>
          <w:kern w:val="32"/>
          <w:sz w:val="28"/>
          <w:szCs w:val="28"/>
        </w:rPr>
        <w:t>项目概况</w:t>
      </w:r>
      <w:bookmarkEnd w:id="11"/>
    </w:p>
    <w:p>
      <w:pPr>
        <w:pStyle w:val="3"/>
        <w:rPr>
          <w:sz w:val="24"/>
          <w:szCs w:val="24"/>
        </w:rPr>
      </w:pPr>
      <w:bookmarkStart w:id="12" w:name="_Toc12229"/>
      <w:r>
        <w:rPr>
          <w:rFonts w:hint="eastAsia"/>
          <w:sz w:val="24"/>
          <w:szCs w:val="24"/>
        </w:rPr>
        <w:t>建筑基本信息</w:t>
      </w:r>
      <w:bookmarkEnd w:id="12"/>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hint="eastAsia" w:ascii="宋体" w:hAnsi="宋体" w:eastAsia="宋体" w:cs="新宋体"/>
                <w:b/>
                <w:bCs/>
                <w:color w:val="000000"/>
                <w:kern w:val="0"/>
                <w:sz w:val="19"/>
                <w:szCs w:val="19"/>
              </w:rPr>
              <w:t>建筑用</w:t>
            </w:r>
            <w:r>
              <w:rPr>
                <w:rFonts w:ascii="宋体" w:hAnsi="宋体" w:eastAsia="宋体" w:cs="新宋体"/>
                <w:b/>
                <w:bCs/>
                <w:color w:val="000000"/>
                <w:kern w:val="0"/>
                <w:sz w:val="19"/>
                <w:szCs w:val="19"/>
              </w:rPr>
              <w:t>途</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r>
              <w:rPr>
                <w:rFonts w:hint="eastAsia" w:ascii="宋体" w:hAnsi="宋体" w:eastAsia="宋体" w:cs="新宋体"/>
                <w:color w:val="000000"/>
                <w:kern w:val="0"/>
                <w:sz w:val="19"/>
                <w:szCs w:val="19"/>
                <w:lang w:val="en-US" w:eastAsia="zh-CN"/>
              </w:rPr>
              <w:t>办公</w:t>
            </w:r>
            <w:r>
              <w:rPr>
                <w:rFonts w:hint="eastAsia" w:ascii="宋体" w:hAnsi="宋体" w:eastAsia="宋体" w:cs="新宋体"/>
                <w:color w:val="000000"/>
                <w:kern w:val="0"/>
                <w:sz w:val="19"/>
                <w:szCs w:val="19"/>
              </w:rPr>
              <w:t>楼</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地区</w:t>
            </w:r>
          </w:p>
        </w:tc>
        <w:tc>
          <w:tcPr>
            <w:tcW w:w="2551" w:type="dxa"/>
            <w:shd w:val="clear" w:color="auto" w:fill="auto"/>
            <w:noWrap/>
            <w:vAlign w:val="bottom"/>
          </w:tcPr>
          <w:p>
            <w:pPr>
              <w:jc w:val="center"/>
              <w:rPr>
                <w:rFonts w:hint="eastAsia" w:ascii="宋体" w:hAnsi="宋体" w:eastAsia="宋体" w:cs="新宋体"/>
                <w:color w:val="000000"/>
                <w:kern w:val="0"/>
                <w:sz w:val="19"/>
                <w:szCs w:val="19"/>
                <w:lang w:val="en-US" w:eastAsia="zh-CN"/>
              </w:rPr>
            </w:pPr>
            <w:r>
              <w:rPr>
                <w:rFonts w:hint="eastAsia" w:ascii="宋体" w:hAnsi="宋体" w:eastAsia="宋体" w:cs="新宋体"/>
                <w:color w:val="000000"/>
                <w:kern w:val="0"/>
                <w:sz w:val="19"/>
                <w:szCs w:val="19"/>
                <w:lang w:val="en-US" w:eastAsia="zh-CN"/>
              </w:rPr>
              <w:t>贵阳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建筑面积</w:t>
            </w:r>
          </w:p>
        </w:tc>
        <w:tc>
          <w:tcPr>
            <w:tcW w:w="2551" w:type="dxa"/>
            <w:shd w:val="clear" w:color="auto" w:fill="auto"/>
            <w:noWrap/>
            <w:vAlign w:val="bottom"/>
          </w:tcPr>
          <w:p>
            <w:pPr>
              <w:jc w:val="center"/>
              <w:rPr>
                <w:rFonts w:hint="default" w:ascii="宋体" w:hAnsi="宋体" w:eastAsia="宋体" w:cs="新宋体"/>
                <w:color w:val="000000"/>
                <w:kern w:val="0"/>
                <w:sz w:val="19"/>
                <w:szCs w:val="19"/>
                <w:lang w:val="en-US" w:eastAsia="zh-CN"/>
              </w:rPr>
            </w:pPr>
            <w:r>
              <w:rPr>
                <w:rFonts w:ascii="宋体" w:hAnsi="宋体" w:eastAsia="宋体" w:cs="新宋体"/>
                <w:color w:val="000000"/>
                <w:kern w:val="0"/>
                <w:sz w:val="19"/>
                <w:szCs w:val="19"/>
              </w:rPr>
              <w:t> </w:t>
            </w:r>
            <w:r>
              <w:rPr>
                <w:rFonts w:hint="eastAsia" w:ascii="宋体" w:hAnsi="宋体" w:eastAsia="宋体" w:cs="新宋体"/>
                <w:color w:val="000000"/>
                <w:kern w:val="0"/>
                <w:sz w:val="19"/>
                <w:szCs w:val="19"/>
                <w:lang w:val="en-US" w:eastAsia="zh-CN"/>
              </w:rPr>
              <w:t>1635.82㎡</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层高</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4500</w:t>
            </w:r>
            <w:r>
              <w:rPr>
                <w:rFonts w:hint="eastAsia" w:ascii="宋体" w:hAnsi="宋体" w:eastAsia="宋体" w:cs="新宋体"/>
                <w:color w:val="000000"/>
                <w:kern w:val="0"/>
                <w:sz w:val="19"/>
                <w:szCs w:val="19"/>
              </w:rPr>
              <w:t>mm</w:t>
            </w:r>
          </w:p>
        </w:tc>
      </w:tr>
    </w:tbl>
    <w:p>
      <w:pPr>
        <w:pStyle w:val="3"/>
        <w:rPr>
          <w:sz w:val="24"/>
          <w:szCs w:val="24"/>
        </w:rPr>
      </w:pPr>
      <w:bookmarkStart w:id="13" w:name="_Toc14614"/>
      <w:r>
        <w:rPr>
          <w:rFonts w:hint="eastAsia"/>
          <w:sz w:val="24"/>
          <w:szCs w:val="24"/>
        </w:rPr>
        <w:t>建筑</w:t>
      </w:r>
      <w:r>
        <w:rPr>
          <w:rFonts w:hint="eastAsia"/>
          <w:sz w:val="24"/>
          <w:szCs w:val="24"/>
          <w:lang w:eastAsia="zh-CN"/>
        </w:rPr>
        <w:t>平面</w:t>
      </w:r>
      <w:r>
        <w:rPr>
          <w:rFonts w:hint="eastAsia"/>
          <w:sz w:val="24"/>
          <w:szCs w:val="24"/>
        </w:rPr>
        <w:t>图</w:t>
      </w:r>
      <w:bookmarkEnd w:id="13"/>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4737100" cy="3368675"/>
            <wp:effectExtent l="0" t="0" r="0" b="952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2"/>
                    <a:stretch>
                      <a:fillRect/>
                    </a:stretch>
                  </pic:blipFill>
                  <pic:spPr>
                    <a:xfrm>
                      <a:off x="0" y="0"/>
                      <a:ext cx="4737100" cy="3368675"/>
                    </a:xfrm>
                    <a:prstGeom prst="rect">
                      <a:avLst/>
                    </a:prstGeom>
                    <a:noFill/>
                    <a:ln w="9525">
                      <a:noFill/>
                    </a:ln>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lang w:val="en-US" w:eastAsia="zh-CN"/>
        </w:rPr>
        <w:t>1</w:t>
      </w:r>
      <w:r>
        <w:rPr>
          <w:rFonts w:ascii="微软雅黑" w:hAnsi="微软雅黑" w:eastAsia="微软雅黑"/>
          <w:b/>
          <w:sz w:val="18"/>
          <w:lang w:val="zh-CN" w:eastAsia="zh-CN"/>
        </w:rPr>
        <w:t>层平面</w:t>
      </w:r>
    </w:p>
    <w:p>
      <w:pPr>
        <w:keepNext w:val="0"/>
        <w:keepLines w:val="0"/>
        <w:widowControl/>
        <w:suppressLineNumbers w:val="0"/>
        <w:jc w:val="center"/>
        <w:rPr>
          <w:rFonts w:ascii="微软雅黑" w:hAnsi="微软雅黑" w:eastAsia="微软雅黑"/>
          <w:b/>
          <w:sz w:val="18"/>
          <w:lang w:val="zh-CN" w:eastAsia="zh-CN"/>
        </w:rPr>
      </w:pPr>
      <w:r>
        <w:rPr>
          <w:rFonts w:ascii="宋体" w:hAnsi="宋体" w:eastAsia="宋体" w:cs="宋体"/>
          <w:kern w:val="0"/>
          <w:sz w:val="24"/>
          <w:szCs w:val="24"/>
          <w:lang w:val="en-US" w:eastAsia="zh-CN" w:bidi="ar"/>
        </w:rPr>
        <w:drawing>
          <wp:inline distT="0" distB="0" distL="114300" distR="114300">
            <wp:extent cx="5380355" cy="2766060"/>
            <wp:effectExtent l="0" t="0" r="4445" b="254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13"/>
                    <a:stretch>
                      <a:fillRect/>
                    </a:stretch>
                  </pic:blipFill>
                  <pic:spPr>
                    <a:xfrm>
                      <a:off x="0" y="0"/>
                      <a:ext cx="5380355" cy="2766060"/>
                    </a:xfrm>
                    <a:prstGeom prst="rect">
                      <a:avLst/>
                    </a:prstGeom>
                    <a:noFill/>
                    <a:ln w="9525">
                      <a:noFill/>
                    </a:ln>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lang w:val="en-US" w:eastAsia="zh-CN"/>
        </w:rPr>
        <w:t>2</w:t>
      </w:r>
      <w:r>
        <w:rPr>
          <w:rFonts w:ascii="微软雅黑" w:hAnsi="微软雅黑" w:eastAsia="微软雅黑"/>
          <w:b/>
          <w:sz w:val="18"/>
          <w:lang w:val="zh-CN" w:eastAsia="zh-CN"/>
        </w:rPr>
        <w:t>层平面</w:t>
      </w:r>
    </w:p>
    <w:p>
      <w:pPr>
        <w:keepNext w:val="0"/>
        <w:keepLines w:val="0"/>
        <w:widowControl/>
        <w:suppressLineNumbers w:val="0"/>
        <w:jc w:val="center"/>
        <w:rPr>
          <w:rFonts w:ascii="微软雅黑" w:hAnsi="微软雅黑" w:eastAsia="微软雅黑"/>
          <w:b/>
          <w:sz w:val="18"/>
          <w:lang w:val="zh-CN" w:eastAsia="zh-CN"/>
        </w:rPr>
      </w:pPr>
      <w:r>
        <w:rPr>
          <w:rFonts w:ascii="宋体" w:hAnsi="宋体" w:eastAsia="宋体" w:cs="宋体"/>
          <w:kern w:val="0"/>
          <w:sz w:val="24"/>
          <w:szCs w:val="24"/>
          <w:lang w:val="en-US" w:eastAsia="zh-CN" w:bidi="ar"/>
        </w:rPr>
        <w:drawing>
          <wp:inline distT="0" distB="0" distL="114300" distR="114300">
            <wp:extent cx="5407660" cy="2706370"/>
            <wp:effectExtent l="0" t="0" r="2540" b="11430"/>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14"/>
                    <a:stretch>
                      <a:fillRect/>
                    </a:stretch>
                  </pic:blipFill>
                  <pic:spPr>
                    <a:xfrm>
                      <a:off x="0" y="0"/>
                      <a:ext cx="5407660" cy="2706370"/>
                    </a:xfrm>
                    <a:prstGeom prst="rect">
                      <a:avLst/>
                    </a:prstGeom>
                    <a:noFill/>
                    <a:ln w="9525">
                      <a:noFill/>
                    </a:ln>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lang w:val="en-US" w:eastAsia="zh-CN"/>
        </w:rPr>
        <w:t>3</w:t>
      </w:r>
      <w:r>
        <w:rPr>
          <w:rFonts w:ascii="微软雅黑" w:hAnsi="微软雅黑" w:eastAsia="微软雅黑"/>
          <w:b/>
          <w:sz w:val="18"/>
          <w:lang w:val="zh-CN" w:eastAsia="zh-CN"/>
        </w:rPr>
        <w:t>层平面</w:t>
      </w:r>
    </w:p>
    <w:p>
      <w:pPr>
        <w:jc w:val="center"/>
        <w:rPr>
          <w:rFonts w:ascii="微软雅黑" w:hAnsi="微软雅黑" w:eastAsia="微软雅黑"/>
          <w:b/>
          <w:sz w:val="18"/>
          <w:lang w:val="zh-CN" w:eastAsia="zh-CN"/>
        </w:rPr>
      </w:pPr>
    </w:p>
    <w:p>
      <w:pPr>
        <w:jc w:val="center"/>
        <w:rPr>
          <w:rFonts w:ascii="微软雅黑" w:hAnsi="微软雅黑" w:eastAsia="微软雅黑"/>
          <w:b/>
          <w:sz w:val="18"/>
          <w:lang w:val="zh-CN" w:eastAsia="zh-CN"/>
        </w:rPr>
      </w:pPr>
    </w:p>
    <w:p>
      <w:pPr>
        <w:jc w:val="center"/>
        <w:rPr>
          <w:rFonts w:ascii="微软雅黑" w:hAnsi="微软雅黑" w:eastAsia="微软雅黑"/>
          <w:b/>
          <w:sz w:val="18"/>
          <w:lang w:val="zh-CN" w:eastAsia="zh-CN"/>
        </w:rPr>
      </w:pPr>
    </w:p>
    <w:p>
      <w:pPr>
        <w:jc w:val="center"/>
        <w:rPr>
          <w:rFonts w:ascii="微软雅黑" w:hAnsi="微软雅黑" w:eastAsia="微软雅黑"/>
          <w:b/>
          <w:sz w:val="18"/>
          <w:lang w:val="zh-CN" w:eastAsia="zh-CN"/>
        </w:rPr>
      </w:pPr>
    </w:p>
    <w:p>
      <w:pPr>
        <w:jc w:val="center"/>
        <w:rPr>
          <w:rFonts w:ascii="微软雅黑" w:hAnsi="微软雅黑" w:eastAsia="微软雅黑"/>
          <w:b/>
          <w:sz w:val="18"/>
          <w:lang w:val="zh-CN" w:eastAsia="zh-CN"/>
        </w:rPr>
      </w:pPr>
    </w:p>
    <w:p>
      <w:pPr>
        <w:jc w:val="center"/>
        <w:rPr>
          <w:rFonts w:ascii="微软雅黑" w:hAnsi="微软雅黑" w:eastAsia="微软雅黑"/>
          <w:b/>
          <w:sz w:val="18"/>
          <w:lang w:val="zh-CN" w:eastAsia="zh-CN"/>
        </w:rPr>
      </w:pPr>
    </w:p>
    <w:p>
      <w:pPr>
        <w:jc w:val="center"/>
        <w:rPr>
          <w:rFonts w:ascii="微软雅黑" w:hAnsi="微软雅黑" w:eastAsia="微软雅黑"/>
          <w:b/>
          <w:sz w:val="18"/>
          <w:lang w:val="zh-CN" w:eastAsia="zh-CN"/>
        </w:rPr>
      </w:pPr>
    </w:p>
    <w:p>
      <w:pPr>
        <w:jc w:val="center"/>
        <w:rPr>
          <w:rFonts w:ascii="微软雅黑" w:hAnsi="微软雅黑" w:eastAsia="微软雅黑"/>
          <w:b/>
          <w:sz w:val="18"/>
          <w:lang w:val="zh-CN" w:eastAsia="zh-CN"/>
        </w:rPr>
      </w:pPr>
    </w:p>
    <w:p>
      <w:pPr>
        <w:jc w:val="center"/>
        <w:rPr>
          <w:rFonts w:ascii="微软雅黑" w:hAnsi="微软雅黑" w:eastAsia="微软雅黑"/>
          <w:b/>
          <w:sz w:val="18"/>
          <w:lang w:val="zh-CN" w:eastAsia="zh-CN"/>
        </w:rPr>
      </w:pPr>
    </w:p>
    <w:p>
      <w:pPr>
        <w:jc w:val="center"/>
        <w:rPr>
          <w:rFonts w:ascii="微软雅黑" w:hAnsi="微软雅黑" w:eastAsia="微软雅黑"/>
          <w:b/>
          <w:sz w:val="18"/>
          <w:lang w:val="zh-CN" w:eastAsia="zh-CN"/>
        </w:rPr>
      </w:pPr>
    </w:p>
    <w:p>
      <w:pPr>
        <w:pStyle w:val="3"/>
        <w:rPr>
          <w:rFonts w:ascii="Times New Roman" w:hAnsi="Times New Roman" w:cs="Times New Roman"/>
          <w:lang w:val="zh-CN" w:eastAsia="zh-CN"/>
        </w:rPr>
      </w:pPr>
      <w:bookmarkStart w:id="14" w:name="_Toc3477"/>
      <w:r>
        <w:rPr>
          <w:rFonts w:hint="eastAsia"/>
          <w:sz w:val="24"/>
          <w:szCs w:val="24"/>
        </w:rPr>
        <w:t>建筑三维轴测图</w:t>
      </w:r>
      <w:bookmarkEnd w:id="14"/>
      <w:bookmarkEnd w:id="33"/>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5" w:name="三维视图"/>
            <w:bookmarkEnd w:id="15"/>
            <w:r>
              <w:drawing>
                <wp:inline distT="0" distB="0" distL="0" distR="0">
                  <wp:extent cx="5732145" cy="3922395"/>
                  <wp:effectExtent l="0" t="0" r="8255" b="1905"/>
                  <wp:docPr id="7" name="Filename hint"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lename hint" descr="Alternative text"/>
                          <pic:cNvPicPr>
                            <a:picLocks noChangeAspect="1"/>
                          </pic:cNvPicPr>
                        </pic:nvPicPr>
                        <pic:blipFill>
                          <a:blip r:embed="rId15"/>
                          <a:stretch>
                            <a:fillRect/>
                          </a:stretch>
                        </pic:blipFill>
                        <pic:spPr>
                          <a:xfrm>
                            <a:off x="0" y="0"/>
                            <a:ext cx="5732145" cy="3922822"/>
                          </a:xfrm>
                          <a:prstGeom prst="rect">
                            <a:avLst/>
                          </a:prstGeom>
                        </pic:spPr>
                      </pic:pic>
                    </a:graphicData>
                  </a:graphic>
                </wp:inline>
              </w:drawing>
            </w:r>
          </w:p>
        </w:tc>
      </w:tr>
    </w:tbl>
    <w:p>
      <w:pPr>
        <w:jc w:val="center"/>
        <w:rPr>
          <w:rFonts w:ascii="Times New Roman" w:hAnsi="Times New Roman" w:cs="Times New Roman"/>
          <w:lang w:val="zh-CN" w:eastAsia="zh-CN"/>
        </w:rPr>
      </w:pPr>
    </w:p>
    <w:p>
      <w:pPr>
        <w:pStyle w:val="3"/>
        <w:rPr>
          <w:rFonts w:ascii="黑体" w:hAnsi="黑体"/>
          <w:kern w:val="32"/>
          <w:sz w:val="28"/>
          <w:szCs w:val="28"/>
        </w:rPr>
      </w:pPr>
      <w:bookmarkStart w:id="16" w:name="_Toc23795"/>
      <w:r>
        <w:rPr>
          <w:rFonts w:hint="eastAsia" w:ascii="黑体" w:hAnsi="黑体"/>
          <w:kern w:val="32"/>
          <w:sz w:val="28"/>
          <w:szCs w:val="28"/>
        </w:rPr>
        <w:t>参考标准</w:t>
      </w:r>
      <w:bookmarkEnd w:id="16"/>
    </w:p>
    <w:p>
      <w:pPr>
        <w:pStyle w:val="37"/>
        <w:numPr>
          <w:ilvl w:val="2"/>
          <w:numId w:val="3"/>
        </w:numPr>
        <w:spacing w:line="400" w:lineRule="exact"/>
        <w:ind w:firstLineChars="0"/>
        <w:rPr>
          <w:rFonts w:ascii="Times New Roman" w:hAnsi="Times New Roman"/>
        </w:rPr>
      </w:pPr>
      <w:r>
        <w:rPr>
          <w:rFonts w:ascii="Times New Roman" w:hAnsi="Times New Roman"/>
        </w:rPr>
        <w:t>《绿色建筑评价标准》GB50378-2019</w:t>
      </w:r>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7" w:name="_Toc28089"/>
      <w:r>
        <w:rPr>
          <w:rFonts w:hint="eastAsia" w:ascii="黑体" w:hAnsi="黑体" w:eastAsia="黑体"/>
          <w:kern w:val="32"/>
          <w:sz w:val="28"/>
          <w:szCs w:val="28"/>
        </w:rPr>
        <w:t>评价标准</w:t>
      </w:r>
      <w:bookmarkEnd w:id="17"/>
    </w:p>
    <w:p>
      <w:pPr>
        <w:spacing w:before="156"/>
        <w:ind w:firstLine="420" w:firstLineChars="200"/>
        <w:rPr>
          <w:rFonts w:ascii="宋体" w:hAnsi="宋体" w:eastAsia="宋体" w:cs="新宋体"/>
          <w:color w:val="000000"/>
          <w:kern w:val="0"/>
          <w:szCs w:val="21"/>
        </w:rPr>
      </w:pPr>
      <w:r>
        <w:rPr>
          <w:rFonts w:hint="eastAsia" w:ascii="宋体" w:hAnsi="宋体" w:eastAsia="宋体" w:cs="新宋体"/>
          <w:color w:val="000000"/>
          <w:kern w:val="0"/>
          <w:szCs w:val="21"/>
        </w:rPr>
        <w:t>本项目</w:t>
      </w:r>
      <w:r>
        <w:rPr>
          <w:rFonts w:ascii="宋体" w:hAnsi="宋体" w:eastAsia="宋体" w:cs="新宋体"/>
          <w:color w:val="000000"/>
          <w:kern w:val="0"/>
          <w:szCs w:val="21"/>
        </w:rPr>
        <w:t>主要</w:t>
      </w:r>
      <w:r>
        <w:rPr>
          <w:rFonts w:hint="eastAsia" w:ascii="宋体" w:hAnsi="宋体" w:eastAsia="宋体" w:cs="新宋体"/>
          <w:color w:val="000000"/>
          <w:kern w:val="0"/>
          <w:szCs w:val="21"/>
        </w:rPr>
        <w:t>依据</w:t>
      </w:r>
      <w:r>
        <w:rPr>
          <w:rFonts w:ascii="宋体" w:hAnsi="宋体" w:eastAsia="宋体" w:cs="新宋体"/>
          <w:color w:val="000000"/>
          <w:kern w:val="0"/>
          <w:szCs w:val="21"/>
        </w:rPr>
        <w:t>《</w:t>
      </w:r>
      <w:r>
        <w:rPr>
          <w:rFonts w:hint="eastAsia" w:ascii="宋体" w:hAnsi="宋体" w:eastAsia="宋体" w:cs="新宋体"/>
          <w:color w:val="000000"/>
          <w:kern w:val="0"/>
          <w:szCs w:val="21"/>
        </w:rPr>
        <w:t>绿色建筑评价</w:t>
      </w:r>
      <w:r>
        <w:rPr>
          <w:rFonts w:ascii="宋体" w:hAnsi="宋体" w:eastAsia="宋体" w:cs="新宋体"/>
          <w:color w:val="000000"/>
          <w:kern w:val="0"/>
          <w:szCs w:val="21"/>
        </w:rPr>
        <w:t>标准》</w:t>
      </w:r>
      <w:r>
        <w:rPr>
          <w:rFonts w:hint="eastAsia" w:ascii="宋体" w:hAnsi="宋体" w:eastAsia="宋体" w:cs="新宋体"/>
          <w:color w:val="000000"/>
          <w:kern w:val="0"/>
          <w:szCs w:val="21"/>
        </w:rPr>
        <w:t>，对室内</w:t>
      </w:r>
      <w:r>
        <w:rPr>
          <w:rFonts w:ascii="宋体" w:hAnsi="宋体" w:eastAsia="宋体" w:cs="新宋体"/>
          <w:color w:val="000000"/>
          <w:kern w:val="0"/>
          <w:szCs w:val="21"/>
        </w:rPr>
        <w:t>颗粒物</w:t>
      </w:r>
      <w:r>
        <w:rPr>
          <w:rFonts w:hint="eastAsia" w:ascii="宋体" w:hAnsi="宋体" w:eastAsia="宋体" w:cs="新宋体"/>
          <w:color w:val="000000"/>
          <w:kern w:val="0"/>
          <w:szCs w:val="21"/>
        </w:rPr>
        <w:t>浓度</w:t>
      </w:r>
      <w:r>
        <w:rPr>
          <w:rFonts w:ascii="宋体" w:hAnsi="宋体" w:eastAsia="宋体" w:cs="新宋体"/>
          <w:color w:val="000000"/>
          <w:kern w:val="0"/>
          <w:szCs w:val="21"/>
        </w:rPr>
        <w:t>进行计算及评估</w:t>
      </w:r>
      <w:r>
        <w:rPr>
          <w:rFonts w:hint="eastAsia" w:ascii="宋体" w:hAnsi="宋体" w:eastAsia="宋体" w:cs="新宋体"/>
          <w:color w:val="000000"/>
          <w:kern w:val="0"/>
          <w:szCs w:val="21"/>
        </w:rPr>
        <w:t>，具体标准</w:t>
      </w:r>
      <w:r>
        <w:rPr>
          <w:rFonts w:ascii="宋体" w:hAnsi="宋体" w:eastAsia="宋体"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技术要求项3.2.8中室内可吸入颗粒物浓度</w:t>
      </w:r>
      <w:r>
        <w:rPr>
          <w:rFonts w:hint="eastAsia" w:ascii="Times New Roman" w:hAnsi="Times New Roman" w:eastAsia="宋体" w:cs="Times New Roman"/>
          <w:b/>
          <w:color w:val="000000"/>
          <w:kern w:val="0"/>
          <w:szCs w:val="21"/>
        </w:rPr>
        <w:t>降低基准</w:t>
      </w:r>
      <w:r>
        <w:rPr>
          <w:rFonts w:hint="eastAsia" w:ascii="Times New Roman" w:hAnsi="Times New Roman" w:eastAsia="宋体" w:cs="Times New Roman"/>
          <w:color w:val="000000"/>
          <w:kern w:val="0"/>
          <w:szCs w:val="21"/>
        </w:rPr>
        <w:t>参见现行</w:t>
      </w:r>
      <w:r>
        <w:rPr>
          <w:rFonts w:ascii="Times New Roman" w:hAnsi="Times New Roman" w:eastAsia="宋体" w:cs="Times New Roman"/>
          <w:color w:val="000000"/>
          <w:kern w:val="0"/>
          <w:szCs w:val="21"/>
        </w:rPr>
        <w:t>《室内空气质量标准》GB/T 18883</w:t>
      </w:r>
      <w:r>
        <w:rPr>
          <w:rFonts w:hint="eastAsia" w:ascii="Times New Roman" w:hAnsi="Times New Roman" w:eastAsia="宋体" w:cs="Times New Roman"/>
          <w:color w:val="000000"/>
          <w:kern w:val="0"/>
          <w:szCs w:val="21"/>
        </w:rPr>
        <w:t>要求，</w:t>
      </w:r>
      <w:r>
        <w:rPr>
          <w:rFonts w:ascii="Times New Roman" w:hAnsi="Times New Roman" w:eastAsia="宋体" w:cs="Times New Roman"/>
          <w:color w:val="000000"/>
          <w:kern w:val="0"/>
          <w:szCs w:val="21"/>
        </w:rPr>
        <w:t>《室内空气质量标准》GB/T 18883中规定</w:t>
      </w:r>
      <w:r>
        <w:rPr>
          <w:rFonts w:ascii="Times New Roman" w:hAnsi="Times New Roman" w:eastAsia="宋体" w:cs="Times New Roman"/>
          <w:b/>
          <w:color w:val="000000"/>
          <w:kern w:val="0"/>
          <w:szCs w:val="21"/>
        </w:rPr>
        <w:t>PM</w:t>
      </w:r>
      <w:r>
        <w:rPr>
          <w:rFonts w:ascii="Times New Roman" w:hAnsi="Times New Roman" w:eastAsia="宋体" w:cs="Times New Roman"/>
          <w:b/>
          <w:color w:val="000000"/>
          <w:kern w:val="0"/>
          <w:szCs w:val="21"/>
          <w:vertAlign w:val="subscript"/>
        </w:rPr>
        <w:t>10</w:t>
      </w:r>
      <w:r>
        <w:rPr>
          <w:rFonts w:ascii="Times New Roman" w:hAnsi="Times New Roman" w:eastAsia="宋体" w:cs="Times New Roman"/>
          <w:color w:val="000000"/>
          <w:kern w:val="0"/>
          <w:szCs w:val="21"/>
        </w:rPr>
        <w:t>污染物浓度日均值的限值为0.15 mg/m</w:t>
      </w:r>
      <w:r>
        <w:rPr>
          <w:rFonts w:ascii="Times New Roman" w:hAnsi="Times New Roman" w:eastAsia="宋体" w:cs="Times New Roman"/>
          <w:color w:val="000000"/>
          <w:kern w:val="0"/>
          <w:szCs w:val="21"/>
          <w:vertAlign w:val="superscript"/>
        </w:rPr>
        <w:t xml:space="preserve">3 </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P</w:t>
      </w:r>
      <w:r>
        <w:rPr>
          <w:rFonts w:ascii="Times New Roman" w:hAnsi="Times New Roman" w:eastAsia="宋体" w:cs="Times New Roman"/>
          <w:color w:val="000000"/>
          <w:kern w:val="0"/>
          <w:szCs w:val="21"/>
        </w:rPr>
        <w:t>M</w:t>
      </w:r>
      <w:r>
        <w:rPr>
          <w:rFonts w:ascii="Times New Roman" w:hAnsi="Times New Roman" w:eastAsia="宋体" w:cs="Times New Roman"/>
          <w:color w:val="000000"/>
          <w:kern w:val="0"/>
          <w:szCs w:val="21"/>
          <w:vertAlign w:val="subscript"/>
        </w:rPr>
        <w:t>10</w:t>
      </w:r>
      <w:r>
        <w:rPr>
          <w:rFonts w:hint="eastAsia" w:ascii="Times New Roman" w:hAnsi="Times New Roman" w:eastAsia="宋体" w:cs="Times New Roman"/>
          <w:color w:val="000000"/>
          <w:kern w:val="0"/>
          <w:szCs w:val="21"/>
        </w:rPr>
        <w:t>浓度降低比例可作为</w:t>
      </w:r>
      <w:r>
        <w:rPr>
          <w:rFonts w:ascii="Times New Roman" w:hAnsi="Times New Roman" w:eastAsia="宋体" w:cs="Times New Roman"/>
          <w:color w:val="000000"/>
          <w:kern w:val="0"/>
          <w:szCs w:val="21"/>
        </w:rPr>
        <w:t>《绿色建筑评价标准》GB50378-2019</w:t>
      </w:r>
      <w:r>
        <w:rPr>
          <w:rFonts w:hint="eastAsia" w:ascii="Times New Roman" w:hAnsi="Times New Roman" w:eastAsia="宋体" w:cs="Times New Roman"/>
          <w:color w:val="000000"/>
          <w:kern w:val="0"/>
          <w:szCs w:val="21"/>
        </w:rPr>
        <w:t>技术要求项的评价指标，</w:t>
      </w:r>
      <w:r>
        <w:rPr>
          <w:rFonts w:ascii="Times New Roman" w:hAnsi="Times New Roman" w:eastAsia="宋体" w:cs="Times New Roman"/>
          <w:color w:val="000000"/>
          <w:kern w:val="0"/>
          <w:szCs w:val="21"/>
        </w:rPr>
        <w:t>室内颗粒物PM</w:t>
      </w:r>
      <w:r>
        <w:rPr>
          <w:rFonts w:ascii="Times New Roman" w:hAnsi="Times New Roman" w:eastAsia="宋体" w:cs="Times New Roman"/>
          <w:color w:val="000000"/>
          <w:kern w:val="0"/>
          <w:szCs w:val="21"/>
          <w:vertAlign w:val="subscript"/>
        </w:rPr>
        <w:t>10</w:t>
      </w:r>
      <w:r>
        <w:rPr>
          <w:rFonts w:ascii="Times New Roman" w:hAnsi="Times New Roman" w:eastAsia="宋体" w:cs="Times New Roman"/>
          <w:color w:val="000000"/>
          <w:kern w:val="0"/>
          <w:szCs w:val="21"/>
        </w:rPr>
        <w:t>浓度要求</w:t>
      </w:r>
      <w:r>
        <w:rPr>
          <w:rFonts w:hint="eastAsia" w:ascii="Times New Roman" w:hAnsi="Times New Roman" w:eastAsia="宋体" w:cs="Times New Roman"/>
          <w:color w:val="000000"/>
          <w:kern w:val="0"/>
          <w:szCs w:val="21"/>
        </w:rPr>
        <w:t>见</w:t>
      </w:r>
      <w:r>
        <w:rPr>
          <w:rFonts w:ascii="Times New Roman" w:hAnsi="Times New Roman" w:eastAsia="宋体"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＜0.135（</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＜0.12（</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8" w:name="_Toc20086"/>
      <w:r>
        <w:rPr>
          <w:rFonts w:hint="eastAsia" w:ascii="黑体" w:hAnsi="黑体" w:eastAsia="黑体"/>
          <w:kern w:val="32"/>
          <w:sz w:val="28"/>
          <w:szCs w:val="28"/>
        </w:rPr>
        <w:t>计算原理</w:t>
      </w:r>
      <w:bookmarkEnd w:id="18"/>
    </w:p>
    <w:p>
      <w:pPr>
        <w:ind w:firstLine="420" w:firstLineChars="200"/>
        <w:rPr>
          <w:color w:val="000000"/>
          <w:lang w:val="zh-CN" w:eastAsia="zh-CN"/>
        </w:rPr>
      </w:pPr>
      <w:r>
        <w:rPr>
          <w:rFonts w:hint="eastAsia" w:ascii="宋体" w:hAnsi="宋体" w:eastAsia="宋体"/>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rFonts w:ascii="宋体" w:hAnsi="宋体" w:eastAsia="宋体"/>
          <w:lang w:val="zh-CN"/>
        </w:rPr>
      </w:pPr>
      <w:r>
        <w:rPr>
          <w:rFonts w:hint="eastAsia" w:ascii="宋体" w:hAnsi="宋体" w:eastAsia="宋体"/>
          <w:lang w:val="zh-CN"/>
        </w:rPr>
        <w:t xml:space="preserve"> </w:t>
      </w:r>
      <w:r>
        <w:rPr>
          <w:rFonts w:ascii="宋体" w:hAnsi="宋体" w:eastAsia="宋体"/>
          <w:lang w:val="zh-CN"/>
        </w:rPr>
        <w:t xml:space="preserve">   </w:t>
      </w:r>
      <w:r>
        <w:rPr>
          <w:rFonts w:hint="eastAsia" w:ascii="宋体" w:hAnsi="宋体" w:eastAsia="宋体"/>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30.55pt;width:410.25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ascii="宋体" w:hAnsi="宋体" w:eastAsia="宋体"/>
          <w:lang w:val="zh-CN"/>
        </w:rPr>
        <w:t xml:space="preserve"> ——室内、室外颗粒物浓度，单位</w:t>
      </w:r>
      <w:r>
        <w:rPr>
          <w:rFonts w:hint="eastAsia"/>
          <w:lang w:val="zh-CN"/>
        </w:rPr>
        <w:t>为</w:t>
      </w:r>
      <w:r>
        <w:rPr>
          <w:rFonts w:hint="eastAsia"/>
          <w:sz w:val="20"/>
          <w:lang w:val="zh-CN"/>
        </w:rPr>
        <w:t>μg/m</w:t>
      </w:r>
      <w:r>
        <w:rPr>
          <w:rFonts w:hint="eastAsia"/>
          <w:sz w:val="20"/>
          <w:vertAlign w:val="superscript"/>
        </w:rPr>
        <w:t>3</w:t>
      </w:r>
      <w:r>
        <w:rPr>
          <w:rFonts w:hint="eastAsia" w:ascii="宋体" w:hAnsi="宋体" w:eastAsia="宋体"/>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ascii="宋体" w:hAnsi="宋体" w:eastAsia="宋体"/>
          <w:lang w:val="zh-CN"/>
        </w:rPr>
        <w:t>——机械通风新、回风量，单位为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rPr>
          <w:rFonts w:ascii="宋体" w:hAnsi="宋体" w:eastAsia="宋体"/>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ascii="宋体" w:hAnsi="宋体" w:eastAsia="宋体"/>
          <w:lang w:val="zh-CN"/>
        </w:rPr>
        <w:t>——新、回风一次通过净化效率，无量纲；</w:t>
      </w:r>
    </w:p>
    <w:p>
      <w:pPr>
        <w:spacing w:before="156"/>
        <w:rPr>
          <w:rFonts w:ascii="宋体" w:hAnsi="宋体" w:eastAsia="宋体"/>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w:t>
      </w:r>
      <w:r>
        <w:rPr>
          <w:rFonts w:hint="eastAsia" w:ascii="宋体" w:hAnsi="宋体" w:eastAsia="宋体"/>
          <w:lang w:val="zh-CN"/>
        </w:rPr>
        <w:t>——房间开窗通风量渗风量，单位为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rPr>
          <w:sz w:val="22"/>
          <w:szCs w:val="24"/>
          <w:lang w:val="zh-CN"/>
        </w:rPr>
      </w:pPr>
      <w:r>
        <w:rPr>
          <w:rFonts w:ascii="宋体" w:hAnsi="宋体" w:eastAsia="宋体"/>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ascii="宋体" w:hAnsi="宋体" w:eastAsia="宋体"/>
          <w:lang w:val="zh-CN"/>
        </w:rPr>
        <w:t>——渗风量，单位为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rPr>
          <w:lang w:val="zh-CN"/>
        </w:rPr>
      </w:pPr>
      <w:r>
        <w:rPr>
          <w:lang w:val="zh-CN"/>
        </w:rPr>
        <w:t xml:space="preserve">      </w:t>
      </w:r>
      <w:r>
        <w:rPr>
          <w:rFonts w:ascii="Calibri" w:hAnsi="Calibri" w:cs="Calibri"/>
          <w:lang w:val="zh-CN"/>
        </w:rPr>
        <w:t xml:space="preserve"> CADR</w:t>
      </w:r>
      <w:r>
        <w:rPr>
          <w:rFonts w:hint="eastAsia" w:ascii="宋体" w:hAnsi="宋体" w:eastAsia="宋体"/>
          <w:lang w:val="zh-CN"/>
        </w:rPr>
        <w:t>——为净化器洁净空气量，单位为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ind w:left="1470" w:leftChars="100" w:right="210" w:rightChars="100" w:hanging="1260" w:hangingChars="600"/>
        <w:rPr>
          <w:rFonts w:ascii="宋体" w:hAnsi="宋体" w:eastAsia="宋体"/>
          <w:lang w:val="zh-CN"/>
        </w:rPr>
      </w:pPr>
      <w:r>
        <w:rPr>
          <w:i/>
          <w:lang w:val="zh-CN"/>
        </w:rPr>
        <w:t xml:space="preserve">     </w:t>
      </w:r>
      <w:r>
        <w:rPr>
          <w:rFonts w:ascii="Calibri" w:hAnsi="Calibri" w:cs="Calibri"/>
          <w:i/>
          <w:lang w:val="zh-CN"/>
        </w:rPr>
        <w:t>P</w:t>
      </w:r>
      <w:r>
        <w:rPr>
          <w:rFonts w:hint="eastAsia" w:ascii="宋体" w:hAnsi="宋体" w:eastAsia="宋体"/>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ascii="宋体" w:hAnsi="宋体" w:eastAsia="宋体"/>
          <w:lang w:val="zh-CN"/>
        </w:rPr>
        <w:t>——室内颗粒物源强度</w:t>
      </w:r>
      <w:r>
        <w:rPr>
          <w:rFonts w:hint="eastAsia"/>
          <w:lang w:val="zh-CN"/>
        </w:rPr>
        <w:t>，单位为μg/h</w:t>
      </w:r>
      <w:r>
        <w:rPr>
          <w:rFonts w:hint="eastAsia" w:ascii="宋体" w:hAnsi="宋体" w:eastAsia="宋体"/>
          <w:lang w:val="zh-CN"/>
        </w:rPr>
        <w:t>；</w:t>
      </w:r>
    </w:p>
    <w:p>
      <w:pPr>
        <w:spacing w:before="156"/>
        <w:rPr>
          <w:lang w:val="zh-CN"/>
        </w:rPr>
      </w:pPr>
      <w:r>
        <w:rPr>
          <w:rFonts w:ascii="Calibri" w:hAnsi="Calibri" w:cs="Calibri"/>
          <w:i/>
          <w:lang w:val="zh-CN"/>
        </w:rPr>
        <w:t xml:space="preserve">       K</w:t>
      </w:r>
      <w:r>
        <w:rPr>
          <w:rFonts w:hint="eastAsia"/>
          <w:i/>
          <w:lang w:val="zh-CN"/>
        </w:rPr>
        <w:t>——</w:t>
      </w:r>
      <w:r>
        <w:rPr>
          <w:rFonts w:hint="eastAsia" w:ascii="宋体" w:hAnsi="宋体" w:eastAsia="宋体"/>
          <w:lang w:val="zh-CN"/>
        </w:rPr>
        <w:t>沉降速率</w:t>
      </w:r>
      <w:r>
        <w:rPr>
          <w:rFonts w:hint="eastAsia"/>
          <w:lang w:val="zh-CN"/>
        </w:rPr>
        <w:t>1/h</w:t>
      </w:r>
      <w:r>
        <w:rPr>
          <w:rFonts w:hint="eastAsia" w:ascii="宋体" w:hAnsi="宋体" w:eastAsia="宋体"/>
          <w:lang w:val="zh-CN"/>
        </w:rPr>
        <w:t>；</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ascii="宋体" w:hAnsi="宋体" w:eastAsia="宋体"/>
          <w:lang w:val="zh-CN"/>
        </w:rPr>
        <w:t>房间体积</w:t>
      </w:r>
      <w:r>
        <w:rPr>
          <w:rFonts w:hint="eastAsia"/>
          <w:lang w:val="zh-CN"/>
        </w:rPr>
        <w:t>m</w:t>
      </w:r>
      <w:r>
        <w:rPr>
          <w:rFonts w:hint="eastAsia"/>
          <w:vertAlign w:val="superscript"/>
        </w:rPr>
        <w:t>3</w:t>
      </w:r>
      <w:r>
        <w:rPr>
          <w:rFonts w:hint="eastAsia" w:ascii="宋体" w:hAnsi="宋体" w:eastAsia="宋体"/>
          <w:lang w:val="zh-CN"/>
        </w:rPr>
        <w:t>；</w:t>
      </w:r>
    </w:p>
    <w:p>
      <w:pPr>
        <w:pStyle w:val="2"/>
        <w:keepLines w:val="0"/>
        <w:widowControl/>
        <w:numPr>
          <w:ilvl w:val="0"/>
          <w:numId w:val="1"/>
        </w:numPr>
        <w:kinsoku w:val="0"/>
        <w:spacing w:before="240" w:after="60" w:line="240" w:lineRule="auto"/>
        <w:jc w:val="left"/>
        <w:rPr>
          <w:rFonts w:eastAsia="宋体"/>
          <w:kern w:val="32"/>
          <w:sz w:val="28"/>
          <w:szCs w:val="28"/>
        </w:rPr>
      </w:pPr>
      <w:bookmarkStart w:id="19" w:name="_Toc1025"/>
      <w:r>
        <w:rPr>
          <w:rFonts w:hint="eastAsia" w:eastAsia="宋体"/>
          <w:kern w:val="32"/>
          <w:sz w:val="28"/>
          <w:szCs w:val="28"/>
        </w:rPr>
        <w:t>计算参数</w:t>
      </w:r>
      <w:bookmarkEnd w:id="19"/>
    </w:p>
    <w:p>
      <w:pPr>
        <w:ind w:firstLine="420" w:firstLineChars="200"/>
        <w:rPr>
          <w:rFonts w:ascii="宋体" w:hAnsi="宋体" w:eastAsia="宋体"/>
        </w:rPr>
      </w:pPr>
      <w:r>
        <w:rPr>
          <w:rFonts w:hint="eastAsia" w:ascii="宋体" w:hAnsi="宋体" w:eastAsia="宋体"/>
        </w:rPr>
        <w:t>本项目对室内颗粒物浓度进行计算并评价，计算所需输入的参数主要为污染物源强以及通风净化措施见下述小节。</w:t>
      </w:r>
    </w:p>
    <w:p>
      <w:pPr>
        <w:pStyle w:val="3"/>
        <w:rPr>
          <w:sz w:val="24"/>
          <w:szCs w:val="24"/>
        </w:rPr>
      </w:pPr>
      <w:bookmarkStart w:id="20" w:name="_Toc26957"/>
      <w:r>
        <w:rPr>
          <w:rFonts w:hint="eastAsia"/>
          <w:sz w:val="24"/>
          <w:szCs w:val="24"/>
        </w:rPr>
        <w:t>渗透风量</w:t>
      </w:r>
      <w:bookmarkEnd w:id="20"/>
    </w:p>
    <w:p>
      <w:pPr>
        <w:ind w:left="-36" w:leftChars="-17" w:firstLine="420" w:firstLineChars="200"/>
        <w:rPr>
          <w:rFonts w:ascii="宋体" w:hAnsi="宋体" w:eastAsia="宋体"/>
          <w:lang w:val="zh-CN"/>
        </w:rPr>
      </w:pPr>
      <w:r>
        <w:rPr>
          <w:rFonts w:hint="eastAsia" w:ascii="宋体" w:hAnsi="宋体" w:eastAsia="宋体"/>
          <w:lang w:val="zh-CN"/>
        </w:rPr>
        <w:t>渗透风量可</w:t>
      </w:r>
      <w:r>
        <w:rPr>
          <w:rFonts w:ascii="Times New Roman" w:hAnsi="Times New Roman" w:eastAsia="宋体" w:cs="Times New Roman"/>
          <w:lang w:val="zh-CN"/>
        </w:rPr>
        <w:t>通过</w:t>
      </w:r>
      <w:r>
        <w:rPr>
          <w:rFonts w:ascii="Times New Roman" w:hAnsi="Times New Roman" w:eastAsia="宋体" w:cs="Times New Roman"/>
          <w:b/>
          <w:lang w:val="zh-CN"/>
        </w:rPr>
        <w:t>门窗气密性</w:t>
      </w:r>
      <w:r>
        <w:rPr>
          <w:rFonts w:ascii="Times New Roman" w:hAnsi="Times New Roman" w:eastAsia="宋体" w:cs="Times New Roman"/>
          <w:lang w:val="zh-CN"/>
        </w:rPr>
        <w:t>或</w:t>
      </w:r>
      <w:r>
        <w:rPr>
          <w:rFonts w:ascii="Times New Roman" w:hAnsi="Times New Roman" w:eastAsia="宋体" w:cs="Times New Roman"/>
          <w:b/>
          <w:lang w:val="zh-CN"/>
        </w:rPr>
        <w:t>换气次数</w:t>
      </w:r>
      <w:r>
        <w:rPr>
          <w:rFonts w:ascii="Times New Roman" w:hAnsi="Times New Roman" w:eastAsia="宋体"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rFonts w:ascii="宋体" w:hAnsi="宋体" w:eastAsia="宋体"/>
          <w:lang w:val="zh-CN"/>
        </w:rPr>
      </w:pPr>
      <w:bookmarkStart w:id="21" w:name="渗透风量"/>
      <w:r>
        <w:t>本项目忽略渗透风量的影响。</w:t>
      </w:r>
      <w:bookmarkEnd w:id="21"/>
    </w:p>
    <w:p>
      <w:pPr>
        <w:pStyle w:val="3"/>
        <w:rPr>
          <w:sz w:val="24"/>
          <w:szCs w:val="24"/>
        </w:rPr>
      </w:pPr>
      <w:bookmarkStart w:id="22" w:name="_Toc16406"/>
      <w:r>
        <w:rPr>
          <w:rFonts w:hint="eastAsia"/>
          <w:sz w:val="24"/>
          <w:szCs w:val="24"/>
        </w:rPr>
        <w:t>室内颗粒物源强</w:t>
      </w:r>
      <w:bookmarkEnd w:id="22"/>
    </w:p>
    <w:p>
      <w:pPr>
        <w:jc w:val="center"/>
        <w:rPr>
          <w:rFonts w:ascii="宋体" w:hAnsi="宋体" w:eastAsia="宋体"/>
        </w:rPr>
      </w:pPr>
      <w:bookmarkStart w:id="23" w:name="室内颗粒物源强表"/>
      <w:r>
        <w:t>该项目室内颗粒物源强为0。</w:t>
      </w:r>
      <w:bookmarkEnd w:id="23"/>
    </w:p>
    <w:p>
      <w:pPr>
        <w:jc w:val="center"/>
        <w:rPr>
          <w:rFonts w:ascii="宋体" w:hAnsi="宋体" w:eastAsia="宋体"/>
        </w:rPr>
      </w:pPr>
    </w:p>
    <w:p>
      <w:pPr>
        <w:pStyle w:val="3"/>
        <w:rPr>
          <w:sz w:val="24"/>
          <w:szCs w:val="24"/>
        </w:rPr>
      </w:pPr>
      <w:bookmarkStart w:id="24" w:name="_Toc7776"/>
      <w:r>
        <w:rPr>
          <w:rFonts w:hint="eastAsia"/>
          <w:sz w:val="24"/>
          <w:szCs w:val="24"/>
        </w:rPr>
        <w:t>室外颗粒物污染源浓度</w:t>
      </w:r>
      <w:bookmarkEnd w:id="24"/>
    </w:p>
    <w:p>
      <w:pPr>
        <w:ind w:firstLine="420" w:firstLineChars="200"/>
        <w:rPr>
          <w:rFonts w:ascii="Times New Roman" w:hAnsi="Times New Roman" w:eastAsia="宋体" w:cs="Times New Roman"/>
          <w:lang w:val="zh-CN"/>
        </w:rPr>
      </w:pPr>
      <w:r>
        <w:rPr>
          <w:rFonts w:ascii="Times New Roman" w:hAnsi="Times New Roman" w:eastAsia="宋体" w:cs="Times New Roman"/>
          <w:lang w:val="zh-CN"/>
        </w:rPr>
        <w:t>室外颗粒物浓度源于本项目所在地气象数据，包括PM</w:t>
      </w:r>
      <w:r>
        <w:rPr>
          <w:rFonts w:ascii="Times New Roman" w:hAnsi="Times New Roman" w:eastAsia="宋体" w:cs="Times New Roman"/>
          <w:vertAlign w:val="subscript"/>
          <w:lang w:val="zh-CN"/>
        </w:rPr>
        <w:t>2.5</w:t>
      </w:r>
      <w:r>
        <w:rPr>
          <w:rFonts w:ascii="Times New Roman" w:hAnsi="Times New Roman" w:eastAsia="宋体" w:cs="Times New Roman"/>
          <w:lang w:val="zh-CN"/>
        </w:rPr>
        <w:t>和PM</w:t>
      </w:r>
      <w:r>
        <w:rPr>
          <w:rFonts w:ascii="Times New Roman" w:hAnsi="Times New Roman" w:eastAsia="宋体" w:cs="Times New Roman"/>
          <w:vertAlign w:val="subscript"/>
          <w:lang w:val="zh-CN"/>
        </w:rPr>
        <w:t>10</w:t>
      </w:r>
      <w:r>
        <w:rPr>
          <w:rFonts w:ascii="Times New Roman" w:hAnsi="Times New Roman" w:eastAsia="宋体" w:cs="Times New Roman"/>
          <w:lang w:val="zh-CN"/>
        </w:rPr>
        <w:t>全年室外浓度日均值，见下图:</w:t>
      </w:r>
    </w:p>
    <w:p>
      <w:pPr>
        <w:pStyle w:val="2"/>
        <w:keepLines w:val="0"/>
        <w:widowControl/>
        <w:numPr>
          <w:ilvl w:val="0"/>
          <w:numId w:val="1"/>
        </w:numPr>
        <w:kinsoku w:val="0"/>
        <w:spacing w:before="240" w:after="60" w:line="240" w:lineRule="auto"/>
        <w:jc w:val="left"/>
        <w:rPr>
          <w:rFonts w:ascii="宋体" w:hAnsi="宋体" w:eastAsia="宋体"/>
          <w:b/>
        </w:rPr>
      </w:pPr>
      <w:bookmarkStart w:id="25" w:name="室外颗粒物逐时浓度图"/>
      <w:bookmarkEnd w:id="25"/>
      <w:bookmarkStart w:id="26" w:name="_Toc14209"/>
      <w:r>
        <w:rPr>
          <w:rFonts w:hint="eastAsia" w:ascii="黑体" w:hAnsi="黑体" w:eastAsia="黑体"/>
          <w:kern w:val="32"/>
          <w:sz w:val="28"/>
          <w:szCs w:val="28"/>
        </w:rPr>
        <w:t>计算结果</w:t>
      </w:r>
      <w:bookmarkEnd w:id="26"/>
      <w:bookmarkStart w:id="27" w:name="室内颗粒物达标判定表"/>
      <w:bookmarkEnd w:id="27"/>
    </w:p>
    <w:p>
      <w:pPr>
        <w:jc w:val="center"/>
        <w:rPr>
          <w:rFonts w:ascii="宋体" w:hAnsi="宋体" w:eastAsia="宋体"/>
          <w:b/>
        </w:rPr>
      </w:pPr>
    </w:p>
    <w:p>
      <w:pPr>
        <w:jc w:val="center"/>
        <w:rPr>
          <w:rFonts w:ascii="宋体" w:hAnsi="宋体" w:eastAsia="宋体"/>
          <w:b/>
        </w:rPr>
      </w:pPr>
      <w:bookmarkStart w:id="28" w:name="颗粒物达标判定图"/>
      <w:bookmarkEnd w:id="28"/>
      <w:r>
        <w:rPr>
          <w:rFonts w:ascii="宋体" w:hAnsi="宋体" w:eastAsia="宋体" w:cs="宋体"/>
          <w:kern w:val="0"/>
          <w:sz w:val="24"/>
          <w:szCs w:val="24"/>
          <w:lang w:val="en-US" w:eastAsia="zh-CN" w:bidi="ar"/>
        </w:rPr>
        <w:drawing>
          <wp:inline distT="0" distB="0" distL="114300" distR="114300">
            <wp:extent cx="4744720" cy="4195445"/>
            <wp:effectExtent l="0" t="0" r="5080" b="825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9"/>
                    <a:stretch>
                      <a:fillRect/>
                    </a:stretch>
                  </pic:blipFill>
                  <pic:spPr>
                    <a:xfrm>
                      <a:off x="0" y="0"/>
                      <a:ext cx="4744720" cy="4195445"/>
                    </a:xfrm>
                    <a:prstGeom prst="rect">
                      <a:avLst/>
                    </a:prstGeom>
                    <a:noFill/>
                    <a:ln w="9525">
                      <a:noFill/>
                    </a:ln>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9" w:name="_Toc31830"/>
      <w:r>
        <w:rPr>
          <w:rFonts w:hint="eastAsia" w:ascii="黑体" w:hAnsi="黑体" w:eastAsia="黑体"/>
          <w:kern w:val="32"/>
          <w:sz w:val="28"/>
          <w:szCs w:val="28"/>
        </w:rPr>
        <w:t>结论</w:t>
      </w:r>
      <w:bookmarkEnd w:id="29"/>
    </w:p>
    <w:p>
      <w:pPr>
        <w:spacing w:after="156" w:afterLines="50"/>
        <w:ind w:firstLine="420"/>
        <w:rPr>
          <w:rFonts w:ascii="宋体" w:hAnsi="宋体" w:eastAsia="宋体"/>
        </w:rPr>
      </w:pPr>
      <w:r>
        <w:rPr>
          <w:rFonts w:hint="eastAsia" w:ascii="宋体" w:hAnsi="宋体" w:eastAsia="宋体"/>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rFonts w:ascii="宋体" w:hAnsi="宋体" w:eastAsia="宋体"/>
                <w:b/>
              </w:rPr>
            </w:pPr>
            <w:r>
              <w:rPr>
                <w:rFonts w:hint="eastAsia" w:ascii="宋体" w:hAnsi="宋体" w:eastAsia="宋体"/>
                <w:b/>
              </w:rPr>
              <w:t>检查项</w:t>
            </w:r>
          </w:p>
        </w:tc>
        <w:tc>
          <w:tcPr>
            <w:tcW w:w="3227" w:type="dxa"/>
            <w:shd w:val="clear" w:color="000000" w:fill="D0CECE"/>
            <w:noWrap/>
            <w:vAlign w:val="center"/>
          </w:tcPr>
          <w:p>
            <w:pPr>
              <w:jc w:val="center"/>
              <w:rPr>
                <w:rFonts w:ascii="宋体" w:hAnsi="宋体" w:eastAsia="宋体"/>
                <w:b/>
              </w:rPr>
            </w:pPr>
            <w:r>
              <w:rPr>
                <w:rFonts w:hint="eastAsia" w:ascii="宋体" w:hAnsi="宋体" w:eastAsia="宋体"/>
                <w:b/>
              </w:rPr>
              <w:t>评价依据</w:t>
            </w:r>
          </w:p>
        </w:tc>
        <w:tc>
          <w:tcPr>
            <w:tcW w:w="2555" w:type="dxa"/>
            <w:shd w:val="clear" w:color="000000" w:fill="D0CECE"/>
            <w:noWrap/>
            <w:vAlign w:val="center"/>
          </w:tcPr>
          <w:p>
            <w:pPr>
              <w:jc w:val="center"/>
              <w:rPr>
                <w:rFonts w:ascii="宋体" w:hAnsi="宋体" w:eastAsia="宋体"/>
                <w:b/>
              </w:rPr>
            </w:pPr>
            <w:r>
              <w:rPr>
                <w:rFonts w:hint="eastAsia" w:ascii="宋体" w:hAnsi="宋体" w:eastAsia="宋体"/>
                <w:b/>
              </w:rPr>
              <w:t>计算结果</w:t>
            </w:r>
          </w:p>
        </w:tc>
        <w:tc>
          <w:tcPr>
            <w:tcW w:w="850" w:type="dxa"/>
            <w:shd w:val="clear" w:color="000000" w:fill="D0CECE"/>
            <w:noWrap/>
            <w:vAlign w:val="center"/>
          </w:tcPr>
          <w:p>
            <w:pPr>
              <w:jc w:val="center"/>
              <w:rPr>
                <w:rFonts w:ascii="宋体" w:hAnsi="宋体" w:eastAsia="宋体"/>
                <w:b/>
              </w:rPr>
            </w:pPr>
            <w:r>
              <w:rPr>
                <w:rFonts w:hint="eastAsia" w:ascii="宋体" w:hAnsi="宋体" w:eastAsia="宋体"/>
                <w:b/>
              </w:rPr>
              <w:t>结论</w:t>
            </w:r>
          </w:p>
        </w:tc>
        <w:tc>
          <w:tcPr>
            <w:tcW w:w="794" w:type="dxa"/>
            <w:shd w:val="clear" w:color="000000" w:fill="D0CECE"/>
            <w:noWrap/>
            <w:vAlign w:val="center"/>
          </w:tcPr>
          <w:p>
            <w:pPr>
              <w:jc w:val="center"/>
              <w:rPr>
                <w:rFonts w:ascii="宋体" w:hAnsi="宋体" w:eastAsia="宋体"/>
                <w:b/>
              </w:rPr>
            </w:pPr>
            <w:r>
              <w:rPr>
                <w:rFonts w:hint="eastAsia" w:ascii="宋体" w:hAnsi="宋体" w:eastAsia="宋体"/>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rFonts w:ascii="宋体" w:hAnsi="宋体" w:eastAsia="宋体"/>
                <w:b/>
              </w:rPr>
            </w:pPr>
            <w:r>
              <w:rPr>
                <w:rFonts w:hint="eastAsia" w:ascii="宋体" w:hAnsi="宋体" w:eastAsia="宋体"/>
                <w:b/>
              </w:rPr>
              <w:t>评分项</w:t>
            </w:r>
          </w:p>
        </w:tc>
        <w:tc>
          <w:tcPr>
            <w:tcW w:w="3227" w:type="dxa"/>
            <w:shd w:val="clear" w:color="auto" w:fill="auto"/>
            <w:vAlign w:val="center"/>
          </w:tcPr>
          <w:p>
            <w:pPr>
              <w:jc w:val="left"/>
              <w:rPr>
                <w:rFonts w:ascii="Times New Roman" w:hAnsi="Times New Roman" w:eastAsia="宋体" w:cs="Times New Roman"/>
                <w:bCs/>
                <w:szCs w:val="20"/>
              </w:rPr>
            </w:pPr>
            <w:r>
              <w:rPr>
                <w:rFonts w:ascii="Times New Roman" w:hAnsi="Times New Roman" w:eastAsia="宋体" w:cs="Times New Roman"/>
                <w:bCs/>
                <w:szCs w:val="20"/>
              </w:rPr>
              <w:t>PM</w:t>
            </w:r>
            <w:r>
              <w:rPr>
                <w:rFonts w:ascii="Times New Roman" w:hAnsi="Times New Roman" w:eastAsia="宋体" w:cs="Times New Roman"/>
                <w:bCs/>
                <w:szCs w:val="20"/>
                <w:vertAlign w:val="subscript"/>
              </w:rPr>
              <w:t>2.5</w:t>
            </w:r>
            <w:r>
              <w:rPr>
                <w:rFonts w:ascii="Times New Roman" w:hAnsi="Times New Roman" w:eastAsia="宋体" w:cs="Times New Roman"/>
                <w:bCs/>
                <w:szCs w:val="20"/>
              </w:rPr>
              <w:t>年均浓度不高于25μg/m³，PM</w:t>
            </w:r>
            <w:r>
              <w:rPr>
                <w:rFonts w:ascii="Times New Roman" w:hAnsi="Times New Roman" w:eastAsia="宋体" w:cs="Times New Roman"/>
                <w:bCs/>
                <w:szCs w:val="20"/>
                <w:vertAlign w:val="subscript"/>
              </w:rPr>
              <w:t>10</w:t>
            </w:r>
            <w:r>
              <w:rPr>
                <w:rFonts w:ascii="Times New Roman" w:hAnsi="Times New Roman" w:eastAsia="宋体" w:cs="Times New Roman"/>
                <w:bCs/>
                <w:szCs w:val="20"/>
              </w:rPr>
              <w:t>年均浓度不高于50μg/m³，</w:t>
            </w:r>
          </w:p>
          <w:p>
            <w:pPr>
              <w:jc w:val="left"/>
              <w:rPr>
                <w:rFonts w:ascii="Times New Roman" w:hAnsi="Times New Roman" w:eastAsia="宋体" w:cs="Times New Roman"/>
                <w:bCs/>
                <w:szCs w:val="20"/>
              </w:rPr>
            </w:pPr>
            <w:r>
              <w:rPr>
                <w:rFonts w:ascii="Times New Roman" w:hAnsi="Times New Roman" w:eastAsia="宋体" w:cs="Times New Roman"/>
                <w:bCs/>
                <w:szCs w:val="20"/>
              </w:rPr>
              <w:t>评价分值为6分。</w:t>
            </w:r>
          </w:p>
        </w:tc>
        <w:tc>
          <w:tcPr>
            <w:tcW w:w="2555" w:type="dxa"/>
            <w:shd w:val="clear" w:color="auto" w:fill="auto"/>
            <w:vAlign w:val="center"/>
          </w:tcPr>
          <w:p>
            <w:pPr>
              <w:jc w:val="left"/>
              <w:rPr>
                <w:rFonts w:ascii="Times New Roman" w:hAnsi="Times New Roman" w:eastAsia="宋体" w:cs="Times New Roman"/>
                <w:b/>
                <w:szCs w:val="20"/>
              </w:rPr>
            </w:pPr>
            <w:bookmarkStart w:id="30" w:name="颗粒物计算结果"/>
            <w:r>
              <w:rPr>
                <w:rFonts w:ascii="Times New Roman" w:hAnsi="Times New Roman" w:eastAsia="宋体" w:cs="Times New Roman"/>
                <w:szCs w:val="20"/>
              </w:rPr>
              <w:t>PM2.5年均浓度1μg/m³ PM10年均浓度2μg/m³</w:t>
            </w:r>
            <w:bookmarkEnd w:id="30"/>
          </w:p>
        </w:tc>
        <w:tc>
          <w:tcPr>
            <w:tcW w:w="850" w:type="dxa"/>
            <w:shd w:val="clear" w:color="auto" w:fill="FEF2CC" w:themeFill="accent4" w:themeFillTint="33"/>
            <w:noWrap/>
            <w:vAlign w:val="center"/>
          </w:tcPr>
          <w:p>
            <w:pPr>
              <w:jc w:val="center"/>
              <w:rPr>
                <w:rFonts w:ascii="宋体" w:hAnsi="宋体" w:eastAsia="宋体"/>
                <w:b/>
                <w:bCs/>
              </w:rPr>
            </w:pPr>
            <w:bookmarkStart w:id="31" w:name="颗粒物评分项结论"/>
            <w:r>
              <w:rPr>
                <w:rFonts w:ascii="宋体" w:hAnsi="宋体" w:eastAsia="宋体"/>
                <w:b/>
                <w:bCs/>
              </w:rPr>
              <w:t>满足</w:t>
            </w:r>
            <w:bookmarkEnd w:id="31"/>
          </w:p>
        </w:tc>
        <w:tc>
          <w:tcPr>
            <w:tcW w:w="794" w:type="dxa"/>
            <w:shd w:val="clear" w:color="auto" w:fill="FEF2CC" w:themeFill="accent4" w:themeFillTint="33"/>
            <w:noWrap/>
            <w:vAlign w:val="center"/>
          </w:tcPr>
          <w:p>
            <w:pPr>
              <w:jc w:val="center"/>
              <w:rPr>
                <w:rFonts w:ascii="宋体" w:hAnsi="宋体" w:eastAsia="宋体"/>
                <w:b/>
                <w:bCs/>
              </w:rPr>
            </w:pPr>
            <w:bookmarkStart w:id="32" w:name="颗粒物评分项得分"/>
            <w:r>
              <w:rPr>
                <w:rFonts w:ascii="宋体" w:hAnsi="宋体" w:eastAsia="宋体"/>
                <w:b/>
                <w:bCs/>
              </w:rPr>
              <w:t>6</w:t>
            </w:r>
            <w:bookmarkEnd w:id="32"/>
            <w:r>
              <w:rPr>
                <w:rFonts w:hint="eastAsia" w:ascii="宋体" w:hAnsi="宋体" w:eastAsia="宋体"/>
                <w:b/>
                <w:bCs/>
              </w:rPr>
              <w:t>分</w:t>
            </w:r>
          </w:p>
        </w:tc>
      </w:tr>
    </w:tbl>
    <w:p>
      <w:pPr>
        <w:rPr>
          <w:lang w:val="zh-CN"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9930024"/>
      <w:docPartObj>
        <w:docPartGallery w:val="autotext"/>
      </w:docPartObj>
    </w:sdtPr>
    <w:sdtContent>
      <w:p>
        <w:pPr>
          <w:pStyle w:val="14"/>
          <w:jc w:val="center"/>
        </w:pPr>
        <w:r>
          <w:fldChar w:fldCharType="begin"/>
        </w:r>
        <w:r>
          <w:instrText xml:space="preserve">PAGE   \* MERGEFORMAT</w:instrText>
        </w:r>
        <w:r>
          <w:fldChar w:fldCharType="separate"/>
        </w:r>
        <w:r>
          <w:rPr>
            <w:lang w:val="zh-CN"/>
          </w:rPr>
          <w:t>5</w:t>
        </w:r>
        <w:r>
          <w:fldChar w:fldCharType="end"/>
        </w:r>
      </w:p>
    </w:sdtContent>
  </w:sdt>
  <w:p>
    <w:pPr>
      <w:pStyle w:val="1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9930024"/>
      <w:docPartObj>
        <w:docPartGallery w:val="AutoText"/>
      </w:docPartObj>
    </w:sdtPr>
    <w:sdtContent>
      <w:p>
        <w:pPr>
          <w:pStyle w:val="14"/>
          <w:jc w:val="center"/>
        </w:pPr>
        <w:r>
          <w:fldChar w:fldCharType="begin"/>
        </w:r>
        <w:r>
          <w:instrText xml:space="preserve">PAGE   \* MERGEFORMAT</w:instrText>
        </w:r>
        <w:r>
          <w:fldChar w:fldCharType="separate"/>
        </w:r>
        <w:r>
          <w:rPr>
            <w:lang w:val="zh-CN"/>
          </w:rPr>
          <w:t>5</w:t>
        </w:r>
        <w:r>
          <w:fldChar w:fldCharType="end"/>
        </w:r>
      </w:p>
    </w:sdtContent>
  </w:sdt>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571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yOTY5OWEwZGUwZmE1MjQ1NGJhOTdkYzQ3NDdmNjIifQ=="/>
  </w:docVars>
  <w:rsids>
    <w:rsidRoot w:val="00A738C7"/>
    <w:rsid w:val="00002BA3"/>
    <w:rsid w:val="000136EE"/>
    <w:rsid w:val="00025F1E"/>
    <w:rsid w:val="00035395"/>
    <w:rsid w:val="000354B1"/>
    <w:rsid w:val="00042122"/>
    <w:rsid w:val="000515D9"/>
    <w:rsid w:val="00051980"/>
    <w:rsid w:val="00066F60"/>
    <w:rsid w:val="000764B5"/>
    <w:rsid w:val="00077C2D"/>
    <w:rsid w:val="00081740"/>
    <w:rsid w:val="00086E49"/>
    <w:rsid w:val="00094CB6"/>
    <w:rsid w:val="000969C6"/>
    <w:rsid w:val="0009759D"/>
    <w:rsid w:val="000B05C6"/>
    <w:rsid w:val="000B3E55"/>
    <w:rsid w:val="000C210B"/>
    <w:rsid w:val="000E01A0"/>
    <w:rsid w:val="000F2869"/>
    <w:rsid w:val="000F3959"/>
    <w:rsid w:val="000F6B87"/>
    <w:rsid w:val="00101CE6"/>
    <w:rsid w:val="00122866"/>
    <w:rsid w:val="00151FC2"/>
    <w:rsid w:val="001526B8"/>
    <w:rsid w:val="00154D5D"/>
    <w:rsid w:val="00156B45"/>
    <w:rsid w:val="001765C5"/>
    <w:rsid w:val="001939BB"/>
    <w:rsid w:val="0019715D"/>
    <w:rsid w:val="001B04AD"/>
    <w:rsid w:val="001B6F86"/>
    <w:rsid w:val="001B75E2"/>
    <w:rsid w:val="001D35B1"/>
    <w:rsid w:val="001E4985"/>
    <w:rsid w:val="001E7907"/>
    <w:rsid w:val="001F2382"/>
    <w:rsid w:val="002112B9"/>
    <w:rsid w:val="002236FA"/>
    <w:rsid w:val="002255D3"/>
    <w:rsid w:val="002372AD"/>
    <w:rsid w:val="0024270B"/>
    <w:rsid w:val="00246F30"/>
    <w:rsid w:val="00252336"/>
    <w:rsid w:val="00262392"/>
    <w:rsid w:val="00264D8E"/>
    <w:rsid w:val="00267769"/>
    <w:rsid w:val="0027361A"/>
    <w:rsid w:val="00294BA2"/>
    <w:rsid w:val="002B43F0"/>
    <w:rsid w:val="002B470D"/>
    <w:rsid w:val="002B5141"/>
    <w:rsid w:val="002D09EA"/>
    <w:rsid w:val="002D4227"/>
    <w:rsid w:val="002E5080"/>
    <w:rsid w:val="002E6051"/>
    <w:rsid w:val="002F7BFE"/>
    <w:rsid w:val="00301717"/>
    <w:rsid w:val="00323938"/>
    <w:rsid w:val="0033581E"/>
    <w:rsid w:val="0034616B"/>
    <w:rsid w:val="003472CD"/>
    <w:rsid w:val="00360573"/>
    <w:rsid w:val="00361C09"/>
    <w:rsid w:val="0037469D"/>
    <w:rsid w:val="0037770A"/>
    <w:rsid w:val="0039338C"/>
    <w:rsid w:val="00394A3E"/>
    <w:rsid w:val="003958C8"/>
    <w:rsid w:val="003B4EE2"/>
    <w:rsid w:val="003C3663"/>
    <w:rsid w:val="003E7013"/>
    <w:rsid w:val="004269B5"/>
    <w:rsid w:val="00427A24"/>
    <w:rsid w:val="00441C7D"/>
    <w:rsid w:val="00446BA6"/>
    <w:rsid w:val="004574D6"/>
    <w:rsid w:val="00465382"/>
    <w:rsid w:val="00474233"/>
    <w:rsid w:val="0047522F"/>
    <w:rsid w:val="004776B1"/>
    <w:rsid w:val="004C1BD9"/>
    <w:rsid w:val="004D0C5B"/>
    <w:rsid w:val="004D17EA"/>
    <w:rsid w:val="004D2473"/>
    <w:rsid w:val="004D58B1"/>
    <w:rsid w:val="004E058C"/>
    <w:rsid w:val="004F04EF"/>
    <w:rsid w:val="004F4302"/>
    <w:rsid w:val="004F4FD2"/>
    <w:rsid w:val="00504551"/>
    <w:rsid w:val="0050628C"/>
    <w:rsid w:val="005069CE"/>
    <w:rsid w:val="00537D58"/>
    <w:rsid w:val="0055123D"/>
    <w:rsid w:val="005575B0"/>
    <w:rsid w:val="00571148"/>
    <w:rsid w:val="00581CBA"/>
    <w:rsid w:val="00582CDB"/>
    <w:rsid w:val="005A1CE8"/>
    <w:rsid w:val="005A4C78"/>
    <w:rsid w:val="005B273D"/>
    <w:rsid w:val="005B6D12"/>
    <w:rsid w:val="005B7D64"/>
    <w:rsid w:val="005C0EFF"/>
    <w:rsid w:val="005C63F1"/>
    <w:rsid w:val="005E3859"/>
    <w:rsid w:val="005E4515"/>
    <w:rsid w:val="005E510C"/>
    <w:rsid w:val="00605B90"/>
    <w:rsid w:val="006068C3"/>
    <w:rsid w:val="00691508"/>
    <w:rsid w:val="00697653"/>
    <w:rsid w:val="006A0292"/>
    <w:rsid w:val="006A13A0"/>
    <w:rsid w:val="006A7B6C"/>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5457"/>
    <w:rsid w:val="007855C9"/>
    <w:rsid w:val="00793B6F"/>
    <w:rsid w:val="00796157"/>
    <w:rsid w:val="007E023C"/>
    <w:rsid w:val="007F5130"/>
    <w:rsid w:val="008245C2"/>
    <w:rsid w:val="00826F10"/>
    <w:rsid w:val="0083147D"/>
    <w:rsid w:val="008329EC"/>
    <w:rsid w:val="00834220"/>
    <w:rsid w:val="00835487"/>
    <w:rsid w:val="00850DFD"/>
    <w:rsid w:val="008521A5"/>
    <w:rsid w:val="00856BA7"/>
    <w:rsid w:val="008623DE"/>
    <w:rsid w:val="0086589E"/>
    <w:rsid w:val="0089249E"/>
    <w:rsid w:val="008A2F76"/>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1B40"/>
    <w:rsid w:val="00987538"/>
    <w:rsid w:val="009945E4"/>
    <w:rsid w:val="009A1CAA"/>
    <w:rsid w:val="009A268A"/>
    <w:rsid w:val="009A6270"/>
    <w:rsid w:val="009A6541"/>
    <w:rsid w:val="009B0987"/>
    <w:rsid w:val="009B47F1"/>
    <w:rsid w:val="009B7227"/>
    <w:rsid w:val="009C1D29"/>
    <w:rsid w:val="009C344A"/>
    <w:rsid w:val="009C5CEC"/>
    <w:rsid w:val="009D7B95"/>
    <w:rsid w:val="009E3803"/>
    <w:rsid w:val="009E6C8F"/>
    <w:rsid w:val="009F22A8"/>
    <w:rsid w:val="009F6B6C"/>
    <w:rsid w:val="00A00A4C"/>
    <w:rsid w:val="00A020AD"/>
    <w:rsid w:val="00A16294"/>
    <w:rsid w:val="00A22EBC"/>
    <w:rsid w:val="00A23379"/>
    <w:rsid w:val="00A26843"/>
    <w:rsid w:val="00A30BA8"/>
    <w:rsid w:val="00A43F92"/>
    <w:rsid w:val="00A51FED"/>
    <w:rsid w:val="00A522AC"/>
    <w:rsid w:val="00A61F49"/>
    <w:rsid w:val="00A638D8"/>
    <w:rsid w:val="00A738C7"/>
    <w:rsid w:val="00A74763"/>
    <w:rsid w:val="00A921EA"/>
    <w:rsid w:val="00A95EFB"/>
    <w:rsid w:val="00AA673C"/>
    <w:rsid w:val="00AB3C04"/>
    <w:rsid w:val="00AB7079"/>
    <w:rsid w:val="00AC234E"/>
    <w:rsid w:val="00AC4337"/>
    <w:rsid w:val="00AC69D7"/>
    <w:rsid w:val="00AD1100"/>
    <w:rsid w:val="00AD6241"/>
    <w:rsid w:val="00AF001E"/>
    <w:rsid w:val="00AF7022"/>
    <w:rsid w:val="00B168A8"/>
    <w:rsid w:val="00B207FE"/>
    <w:rsid w:val="00B30614"/>
    <w:rsid w:val="00B34963"/>
    <w:rsid w:val="00B36649"/>
    <w:rsid w:val="00B524D0"/>
    <w:rsid w:val="00B558F1"/>
    <w:rsid w:val="00B606AE"/>
    <w:rsid w:val="00B72EEA"/>
    <w:rsid w:val="00B735CE"/>
    <w:rsid w:val="00B73CB8"/>
    <w:rsid w:val="00B76942"/>
    <w:rsid w:val="00B77CFD"/>
    <w:rsid w:val="00B82263"/>
    <w:rsid w:val="00B91795"/>
    <w:rsid w:val="00BC0D49"/>
    <w:rsid w:val="00BC2011"/>
    <w:rsid w:val="00BC3F82"/>
    <w:rsid w:val="00BE4774"/>
    <w:rsid w:val="00BE54A9"/>
    <w:rsid w:val="00BF6C3C"/>
    <w:rsid w:val="00C0612E"/>
    <w:rsid w:val="00C10561"/>
    <w:rsid w:val="00C22E21"/>
    <w:rsid w:val="00C22FF4"/>
    <w:rsid w:val="00C24926"/>
    <w:rsid w:val="00C345D9"/>
    <w:rsid w:val="00C55228"/>
    <w:rsid w:val="00C55CA9"/>
    <w:rsid w:val="00C81D9A"/>
    <w:rsid w:val="00C864EA"/>
    <w:rsid w:val="00C86624"/>
    <w:rsid w:val="00C93294"/>
    <w:rsid w:val="00C95A58"/>
    <w:rsid w:val="00CA6F67"/>
    <w:rsid w:val="00CB2B3B"/>
    <w:rsid w:val="00CD0F6C"/>
    <w:rsid w:val="00CD1EEE"/>
    <w:rsid w:val="00CD50A4"/>
    <w:rsid w:val="00CD701B"/>
    <w:rsid w:val="00CF4411"/>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579A7"/>
    <w:rsid w:val="00D70DE9"/>
    <w:rsid w:val="00D76982"/>
    <w:rsid w:val="00D8730F"/>
    <w:rsid w:val="00DA635C"/>
    <w:rsid w:val="00DB03AB"/>
    <w:rsid w:val="00DB2A94"/>
    <w:rsid w:val="00DF0538"/>
    <w:rsid w:val="00DF4794"/>
    <w:rsid w:val="00E47C25"/>
    <w:rsid w:val="00E80ACF"/>
    <w:rsid w:val="00E853C4"/>
    <w:rsid w:val="00E91D4C"/>
    <w:rsid w:val="00E93917"/>
    <w:rsid w:val="00EA5E3F"/>
    <w:rsid w:val="00EB5174"/>
    <w:rsid w:val="00EB6DF0"/>
    <w:rsid w:val="00EC5BCA"/>
    <w:rsid w:val="00ED2CB7"/>
    <w:rsid w:val="00ED4928"/>
    <w:rsid w:val="00ED65A0"/>
    <w:rsid w:val="00ED6B42"/>
    <w:rsid w:val="00EE1AC5"/>
    <w:rsid w:val="00F0148C"/>
    <w:rsid w:val="00F07937"/>
    <w:rsid w:val="00F134A0"/>
    <w:rsid w:val="00F36A82"/>
    <w:rsid w:val="00F37552"/>
    <w:rsid w:val="00F46686"/>
    <w:rsid w:val="00F538CE"/>
    <w:rsid w:val="00F56B42"/>
    <w:rsid w:val="00F63AC3"/>
    <w:rsid w:val="00F77776"/>
    <w:rsid w:val="00F77D6B"/>
    <w:rsid w:val="00F87D86"/>
    <w:rsid w:val="00FA014C"/>
    <w:rsid w:val="00FA1701"/>
    <w:rsid w:val="00FB25BC"/>
    <w:rsid w:val="00FB47A9"/>
    <w:rsid w:val="00FB58E6"/>
    <w:rsid w:val="00FB6679"/>
    <w:rsid w:val="0E615335"/>
    <w:rsid w:val="445A6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eastAsia="宋体"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0"/>
    <w:semiHidden/>
    <w:unhideWhenUsed/>
    <w:uiPriority w:val="99"/>
    <w:rPr>
      <w:sz w:val="20"/>
      <w:szCs w:val="20"/>
    </w:rPr>
  </w:style>
  <w:style w:type="paragraph" w:styleId="12">
    <w:name w:val="toc 3"/>
    <w:basedOn w:val="1"/>
    <w:next w:val="1"/>
    <w:qFormat/>
    <w:uiPriority w:val="39"/>
    <w:pPr>
      <w:widowControl/>
      <w:ind w:left="840" w:leftChars="400"/>
    </w:pPr>
    <w:rPr>
      <w:rFonts w:ascii="Times New Roman" w:hAnsi="Times New Roman" w:eastAsia="宋体" w:cs="Times New Roman"/>
      <w:szCs w:val="24"/>
    </w:rPr>
  </w:style>
  <w:style w:type="paragraph" w:styleId="13">
    <w:name w:val="Balloon Text"/>
    <w:basedOn w:val="1"/>
    <w:link w:val="38"/>
    <w:semiHidden/>
    <w:unhideWhenUsed/>
    <w:uiPriority w:val="99"/>
    <w:rPr>
      <w:sz w:val="18"/>
      <w:szCs w:val="18"/>
    </w:rPr>
  </w:style>
  <w:style w:type="paragraph" w:styleId="14">
    <w:name w:val="footer"/>
    <w:basedOn w:val="1"/>
    <w:link w:val="25"/>
    <w:unhideWhenUsed/>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eastAsia="宋体" w:cs="Times New Roman"/>
      <w:szCs w:val="24"/>
    </w:rPr>
  </w:style>
  <w:style w:type="paragraph" w:styleId="17">
    <w:name w:val="toc 2"/>
    <w:basedOn w:val="1"/>
    <w:next w:val="1"/>
    <w:qFormat/>
    <w:uiPriority w:val="39"/>
    <w:pPr>
      <w:widowControl/>
      <w:ind w:left="200" w:leftChars="200"/>
    </w:pPr>
    <w:rPr>
      <w:rFonts w:ascii="Times New Roman" w:hAnsi="Times New Roman" w:eastAsia="宋体" w:cs="Times New Roman"/>
      <w:szCs w:val="24"/>
    </w:rPr>
  </w:style>
  <w:style w:type="paragraph" w:styleId="18">
    <w:name w:val="annotation subject"/>
    <w:basedOn w:val="11"/>
    <w:next w:val="11"/>
    <w:link w:val="41"/>
    <w:semiHidden/>
    <w:unhideWhenUsed/>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styleId="23">
    <w:name w:val="annotation reference"/>
    <w:basedOn w:val="21"/>
    <w:semiHidden/>
    <w:unhideWhenUsed/>
    <w:uiPriority w:val="99"/>
    <w:rPr>
      <w:sz w:val="16"/>
      <w:szCs w:val="16"/>
    </w:rPr>
  </w:style>
  <w:style w:type="character" w:customStyle="1" w:styleId="24">
    <w:name w:val="页眉 Char"/>
    <w:basedOn w:val="21"/>
    <w:link w:val="15"/>
    <w:qFormat/>
    <w:uiPriority w:val="0"/>
    <w:rPr>
      <w:sz w:val="18"/>
      <w:szCs w:val="18"/>
    </w:rPr>
  </w:style>
  <w:style w:type="character" w:customStyle="1" w:styleId="25">
    <w:name w:val="页脚 Char"/>
    <w:basedOn w:val="21"/>
    <w:link w:val="14"/>
    <w:qFormat/>
    <w:uiPriority w:val="99"/>
    <w:rPr>
      <w:sz w:val="18"/>
      <w:szCs w:val="18"/>
    </w:rPr>
  </w:style>
  <w:style w:type="character" w:customStyle="1" w:styleId="26">
    <w:name w:val="标题 2 字符"/>
    <w:basedOn w:val="21"/>
    <w:semiHidden/>
    <w:uiPriority w:val="9"/>
    <w:rPr>
      <w:rFonts w:asciiTheme="majorHAnsi" w:hAnsiTheme="majorHAnsi" w:eastAsiaTheme="majorEastAsia" w:cstheme="majorBidi"/>
      <w:b/>
      <w:bCs/>
      <w:sz w:val="32"/>
      <w:szCs w:val="32"/>
    </w:rPr>
  </w:style>
  <w:style w:type="character" w:customStyle="1" w:styleId="27">
    <w:name w:val="标题 3 Char"/>
    <w:basedOn w:val="21"/>
    <w:link w:val="4"/>
    <w:qFormat/>
    <w:uiPriority w:val="0"/>
    <w:rPr>
      <w:rFonts w:ascii="Times New Roman" w:hAnsi="Times New Roman" w:eastAsia="黑体" w:cs="Times New Roman"/>
      <w:b/>
      <w:bCs/>
      <w:sz w:val="28"/>
      <w:szCs w:val="24"/>
      <w:lang w:val="zh-CN" w:eastAsia="zh-CN"/>
    </w:rPr>
  </w:style>
  <w:style w:type="character" w:customStyle="1" w:styleId="28">
    <w:name w:val="标题 4 Char"/>
    <w:basedOn w:val="21"/>
    <w:link w:val="5"/>
    <w:uiPriority w:val="0"/>
    <w:rPr>
      <w:rFonts w:ascii="Arial" w:hAnsi="Arial" w:eastAsia="黑体" w:cs="Times New Roman"/>
      <w:b/>
      <w:bCs/>
      <w:sz w:val="24"/>
      <w:szCs w:val="28"/>
    </w:rPr>
  </w:style>
  <w:style w:type="character" w:customStyle="1" w:styleId="29">
    <w:name w:val="标题 2 Char"/>
    <w:link w:val="3"/>
    <w:uiPriority w:val="0"/>
    <w:rPr>
      <w:rFonts w:ascii="Arial" w:hAnsi="Arial" w:eastAsia="黑体" w:cs="Times New Roman"/>
      <w:b/>
      <w:bCs/>
      <w:sz w:val="30"/>
      <w:szCs w:val="32"/>
      <w:lang w:val="zh-CN" w:eastAsia="zh-CN"/>
    </w:rPr>
  </w:style>
  <w:style w:type="character" w:customStyle="1" w:styleId="30">
    <w:name w:val="标题 1 Char"/>
    <w:basedOn w:val="21"/>
    <w:link w:val="2"/>
    <w:qFormat/>
    <w:uiPriority w:val="9"/>
    <w:rPr>
      <w:b/>
      <w:bCs/>
      <w:kern w:val="44"/>
      <w:sz w:val="44"/>
      <w:szCs w:val="44"/>
    </w:rPr>
  </w:style>
  <w:style w:type="character" w:customStyle="1" w:styleId="31">
    <w:name w:val="标题 5 Char"/>
    <w:basedOn w:val="21"/>
    <w:link w:val="6"/>
    <w:qFormat/>
    <w:uiPriority w:val="0"/>
    <w:rPr>
      <w:rFonts w:ascii="Arial" w:hAnsi="Arial" w:eastAsia="黑体" w:cs="Times New Roman"/>
      <w:b/>
      <w:sz w:val="28"/>
      <w:szCs w:val="28"/>
      <w:lang w:val="zh-CN" w:eastAsia="zh-CN"/>
    </w:rPr>
  </w:style>
  <w:style w:type="character" w:customStyle="1" w:styleId="32">
    <w:name w:val="标题 6 Char"/>
    <w:basedOn w:val="21"/>
    <w:link w:val="7"/>
    <w:uiPriority w:val="0"/>
    <w:rPr>
      <w:rFonts w:ascii="Arial" w:hAnsi="Arial" w:eastAsia="黑体" w:cs="Times New Roman"/>
      <w:b/>
      <w:bCs/>
      <w:sz w:val="24"/>
      <w:szCs w:val="24"/>
    </w:rPr>
  </w:style>
  <w:style w:type="character" w:customStyle="1" w:styleId="33">
    <w:name w:val="标题 7 Char"/>
    <w:basedOn w:val="21"/>
    <w:link w:val="8"/>
    <w:uiPriority w:val="0"/>
    <w:rPr>
      <w:rFonts w:ascii="Times New Roman" w:hAnsi="Times New Roman" w:eastAsia="宋体" w:cs="Times New Roman"/>
      <w:b/>
      <w:bCs/>
      <w:sz w:val="24"/>
      <w:szCs w:val="24"/>
    </w:rPr>
  </w:style>
  <w:style w:type="character" w:customStyle="1" w:styleId="34">
    <w:name w:val="标题 8 Char"/>
    <w:basedOn w:val="21"/>
    <w:link w:val="9"/>
    <w:uiPriority w:val="0"/>
    <w:rPr>
      <w:rFonts w:ascii="Arial" w:hAnsi="Arial" w:eastAsia="黑体" w:cs="Times New Roman"/>
      <w:sz w:val="24"/>
      <w:szCs w:val="24"/>
    </w:rPr>
  </w:style>
  <w:style w:type="character" w:customStyle="1" w:styleId="35">
    <w:name w:val="标题 9 Char"/>
    <w:basedOn w:val="21"/>
    <w:link w:val="10"/>
    <w:qFormat/>
    <w:uiPriority w:val="0"/>
    <w:rPr>
      <w:rFonts w:ascii="Arial" w:hAnsi="Arial" w:eastAsia="黑体" w:cs="Times New Roman"/>
      <w:szCs w:val="21"/>
    </w:rPr>
  </w:style>
  <w:style w:type="paragraph" w:customStyle="1" w:styleId="36">
    <w:name w:val="TOC Heading"/>
    <w:basedOn w:val="2"/>
    <w:next w:val="1"/>
    <w:qFormat/>
    <w:uiPriority w:val="39"/>
    <w:pPr>
      <w:widowControl/>
      <w:tabs>
        <w:tab w:val="left" w:pos="432"/>
      </w:tabs>
      <w:spacing w:before="480" w:after="0" w:line="276" w:lineRule="auto"/>
      <w:jc w:val="left"/>
      <w:outlineLvl w:val="9"/>
    </w:pPr>
    <w:rPr>
      <w:rFonts w:ascii="Cambria" w:hAnsi="Cambria" w:eastAsia="宋体"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eastAsia="宋体" w:cs="Times New Roman"/>
    </w:rPr>
  </w:style>
  <w:style w:type="character" w:customStyle="1" w:styleId="38">
    <w:name w:val="批注框文本 Char"/>
    <w:basedOn w:val="21"/>
    <w:link w:val="13"/>
    <w:semiHidden/>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Char"/>
    <w:basedOn w:val="21"/>
    <w:link w:val="11"/>
    <w:semiHidden/>
    <w:uiPriority w:val="99"/>
    <w:rPr>
      <w:sz w:val="20"/>
      <w:szCs w:val="20"/>
    </w:rPr>
  </w:style>
  <w:style w:type="character" w:customStyle="1" w:styleId="41">
    <w:name w:val="批注主题 Char"/>
    <w:basedOn w:val="40"/>
    <w:link w:val="1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oleObject" Target="embeddings/oleObject1.bin"/><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tmp32.dotx</Template>
  <Company>Microsoft</Company>
  <Pages>8</Pages>
  <Words>1424</Words>
  <Characters>1733</Characters>
  <Lines>71</Lines>
  <Paragraphs>20</Paragraphs>
  <TotalTime>0</TotalTime>
  <ScaleCrop>false</ScaleCrop>
  <LinksUpToDate>false</LinksUpToDate>
  <CharactersWithSpaces>2135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2020-12-10T07:39:00Z</dcterms:created>
  <dc:creator>user</dc:creator>
  <cp:lastModifiedBy>周乔治</cp:lastModifiedBy>
  <dcterms:modified xsi:type="dcterms:W3CDTF">2023-03-02T01:53:09Z</dcterms:modified>
  <dc:title>绿色建筑颗粒物预评价报告书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951DADA4FDB7412086DBBC0979900BB1</vt:lpwstr>
  </property>
</Properties>
</file>