
<file path=[Content_Types].xml><?xml version="1.0" encoding="utf-8"?>
<Types xmlns="http://schemas.openxmlformats.org/package/2006/content-types">
  <Default Extension="jpeg" ContentType="image/jpeg"/>
  <Default Extension="JPG" ContentType="image/.jp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江苏-苏州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2022年12月31日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T17708473286</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_Toc15009 </w:instrText>
      </w:r>
      <w:r>
        <w:rPr>
          <w:rFonts w:ascii="宋体" w:hAnsi="宋体"/>
          <w:bCs w:val="0"/>
          <w:caps/>
        </w:rPr>
        <w:fldChar w:fldCharType="separate"/>
      </w:r>
      <w:r>
        <w:rPr>
          <w:rFonts w:hint="eastAsia"/>
        </w:rPr>
        <w:t>1 建筑概况</w:t>
      </w:r>
      <w:r>
        <w:tab/>
      </w:r>
      <w:r>
        <w:fldChar w:fldCharType="begin"/>
      </w:r>
      <w:r>
        <w:instrText xml:space="preserve"> PAGEREF _Toc15009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_Toc20141 </w:instrText>
      </w:r>
      <w:r>
        <w:fldChar w:fldCharType="separate"/>
      </w:r>
      <w:r>
        <w:rPr>
          <w:rFonts w:hint="eastAsia"/>
        </w:rPr>
        <w:t>2 计算依据</w:t>
      </w:r>
      <w:r>
        <w:tab/>
      </w:r>
      <w:r>
        <w:fldChar w:fldCharType="begin"/>
      </w:r>
      <w:r>
        <w:instrText xml:space="preserve"> PAGEREF _Toc20141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_Toc11070 </w:instrText>
      </w:r>
      <w:r>
        <w:fldChar w:fldCharType="separate"/>
      </w:r>
      <w:r>
        <w:rPr>
          <w:rFonts w:hint="eastAsia"/>
        </w:rPr>
        <w:t>3 计算要求</w:t>
      </w:r>
      <w:r>
        <w:tab/>
      </w:r>
      <w:r>
        <w:fldChar w:fldCharType="begin"/>
      </w:r>
      <w:r>
        <w:instrText xml:space="preserve"> PAGEREF _Toc11070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_Toc9695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_Toc9695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_Toc13744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_Toc13744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_Toc13588 </w:instrText>
      </w:r>
      <w:r>
        <w:fldChar w:fldCharType="separate"/>
      </w:r>
      <w:r>
        <w:rPr>
          <w:rFonts w:hint="eastAsia"/>
        </w:rPr>
        <w:t>4 软件介绍</w:t>
      </w:r>
      <w:r>
        <w:tab/>
      </w:r>
      <w:r>
        <w:fldChar w:fldCharType="begin"/>
      </w:r>
      <w:r>
        <w:instrText xml:space="preserve"> PAGEREF _Toc13588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_Toc24721 </w:instrText>
      </w:r>
      <w:r>
        <w:fldChar w:fldCharType="separate"/>
      </w:r>
      <w:r>
        <w:rPr>
          <w:rFonts w:hint="eastAsia"/>
        </w:rPr>
        <w:t>5 气象数据</w:t>
      </w:r>
      <w:r>
        <w:tab/>
      </w:r>
      <w:r>
        <w:fldChar w:fldCharType="begin"/>
      </w:r>
      <w:r>
        <w:instrText xml:space="preserve"> PAGEREF _Toc24721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_Toc32399 </w:instrText>
      </w:r>
      <w:r>
        <w:fldChar w:fldCharType="separate"/>
      </w:r>
      <w:r>
        <w:rPr>
          <w:rFonts w:hint="eastAsia"/>
          <w:lang w:val="en-GB"/>
        </w:rPr>
        <w:t xml:space="preserve">5.1 </w:t>
      </w:r>
      <w:r>
        <w:rPr>
          <w:rFonts w:hint="eastAsia"/>
        </w:rPr>
        <w:t>气象地点</w:t>
      </w:r>
      <w:r>
        <w:tab/>
      </w:r>
      <w:r>
        <w:fldChar w:fldCharType="begin"/>
      </w:r>
      <w:r>
        <w:instrText xml:space="preserve"> PAGEREF _Toc32399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_Toc10979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_Toc10979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_Toc7151 </w:instrText>
      </w:r>
      <w:r>
        <w:fldChar w:fldCharType="separate"/>
      </w:r>
      <w:r>
        <w:rPr>
          <w:rFonts w:hint="eastAsia"/>
          <w:lang w:val="en-GB"/>
        </w:rPr>
        <w:t xml:space="preserve">5.3 </w:t>
      </w:r>
      <w:r>
        <w:rPr>
          <w:rFonts w:hint="eastAsia"/>
        </w:rPr>
        <w:t>逐月辐照量表</w:t>
      </w:r>
      <w:r>
        <w:tab/>
      </w:r>
      <w:r>
        <w:fldChar w:fldCharType="begin"/>
      </w:r>
      <w:r>
        <w:instrText xml:space="preserve"> PAGEREF _Toc7151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_Toc3045 </w:instrText>
      </w:r>
      <w:r>
        <w:fldChar w:fldCharType="separate"/>
      </w:r>
      <w:r>
        <w:rPr>
          <w:rFonts w:hint="eastAsia"/>
          <w:lang w:val="en-GB"/>
        </w:rPr>
        <w:t xml:space="preserve">5.4 </w:t>
      </w:r>
      <w:r>
        <w:rPr>
          <w:rFonts w:hint="eastAsia"/>
        </w:rPr>
        <w:t>峰值工况</w:t>
      </w:r>
      <w:r>
        <w:tab/>
      </w:r>
      <w:r>
        <w:fldChar w:fldCharType="begin"/>
      </w:r>
      <w:r>
        <w:instrText xml:space="preserve"> PAGEREF _Toc3045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_Toc17191 </w:instrText>
      </w:r>
      <w:r>
        <w:fldChar w:fldCharType="separate"/>
      </w:r>
      <w:r>
        <w:rPr>
          <w:rFonts w:hint="eastAsia"/>
        </w:rPr>
        <w:t xml:space="preserve">6 </w:t>
      </w:r>
      <w:r>
        <w:t>围护结构</w:t>
      </w:r>
      <w:r>
        <w:tab/>
      </w:r>
      <w:r>
        <w:fldChar w:fldCharType="begin"/>
      </w:r>
      <w:r>
        <w:instrText xml:space="preserve"> PAGEREF _Toc17191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_Toc22179 </w:instrText>
      </w:r>
      <w:r>
        <w:fldChar w:fldCharType="separate"/>
      </w:r>
      <w:r>
        <w:rPr>
          <w:rFonts w:hint="eastAsia"/>
          <w:lang w:val="en-GB"/>
        </w:rPr>
        <w:t xml:space="preserve">6.1 </w:t>
      </w:r>
      <w:r>
        <w:t>工程材料</w:t>
      </w:r>
      <w:r>
        <w:tab/>
      </w:r>
      <w:r>
        <w:fldChar w:fldCharType="begin"/>
      </w:r>
      <w:r>
        <w:instrText xml:space="preserve"> PAGEREF _Toc22179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_Toc17490 </w:instrText>
      </w:r>
      <w:r>
        <w:fldChar w:fldCharType="separate"/>
      </w:r>
      <w:r>
        <w:rPr>
          <w:rFonts w:hint="eastAsia"/>
          <w:lang w:val="en-GB"/>
        </w:rPr>
        <w:t xml:space="preserve">6.2 </w:t>
      </w:r>
      <w:r>
        <w:t>围护结构作法简要说明</w:t>
      </w:r>
      <w:r>
        <w:tab/>
      </w:r>
      <w:r>
        <w:fldChar w:fldCharType="begin"/>
      </w:r>
      <w:r>
        <w:instrText xml:space="preserve"> PAGEREF _Toc17490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_Toc18188 </w:instrText>
      </w:r>
      <w:r>
        <w:fldChar w:fldCharType="separate"/>
      </w:r>
      <w:r>
        <w:rPr>
          <w:rFonts w:hint="eastAsia"/>
        </w:rPr>
        <w:t xml:space="preserve">7 </w:t>
      </w:r>
      <w:r>
        <w:t>房间类型</w:t>
      </w:r>
      <w:r>
        <w:tab/>
      </w:r>
      <w:r>
        <w:fldChar w:fldCharType="begin"/>
      </w:r>
      <w:r>
        <w:instrText xml:space="preserve"> PAGEREF _Toc18188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_Toc20219 </w:instrText>
      </w:r>
      <w:r>
        <w:fldChar w:fldCharType="separate"/>
      </w:r>
      <w:r>
        <w:rPr>
          <w:rFonts w:hint="eastAsia"/>
          <w:lang w:val="en-GB"/>
        </w:rPr>
        <w:t xml:space="preserve">7.1 </w:t>
      </w:r>
      <w:r>
        <w:t>房间表</w:t>
      </w:r>
      <w:r>
        <w:tab/>
      </w:r>
      <w:r>
        <w:fldChar w:fldCharType="begin"/>
      </w:r>
      <w:r>
        <w:instrText xml:space="preserve"> PAGEREF _Toc20219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_Toc27781 </w:instrText>
      </w:r>
      <w:r>
        <w:fldChar w:fldCharType="separate"/>
      </w:r>
      <w:r>
        <w:rPr>
          <w:rFonts w:hint="eastAsia"/>
          <w:lang w:val="en-GB"/>
        </w:rPr>
        <w:t xml:space="preserve">7.2 </w:t>
      </w:r>
      <w:r>
        <w:t>作息时间表</w:t>
      </w:r>
      <w:r>
        <w:tab/>
      </w:r>
      <w:r>
        <w:fldChar w:fldCharType="begin"/>
      </w:r>
      <w:r>
        <w:instrText xml:space="preserve"> PAGEREF _Toc27781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_Toc723 </w:instrText>
      </w:r>
      <w:r>
        <w:fldChar w:fldCharType="separate"/>
      </w:r>
      <w:r>
        <w:rPr>
          <w:rFonts w:hint="eastAsia"/>
        </w:rPr>
        <w:t xml:space="preserve">8 </w:t>
      </w:r>
      <w:r>
        <w:t>设计建筑</w:t>
      </w:r>
      <w:r>
        <w:tab/>
      </w:r>
      <w:r>
        <w:fldChar w:fldCharType="begin"/>
      </w:r>
      <w:r>
        <w:instrText xml:space="preserve"> PAGEREF _Toc723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_Toc1625 </w:instrText>
      </w:r>
      <w:r>
        <w:fldChar w:fldCharType="separate"/>
      </w:r>
      <w:r>
        <w:rPr>
          <w:rFonts w:hint="eastAsia"/>
          <w:lang w:val="en-GB"/>
        </w:rPr>
        <w:t xml:space="preserve">8.1 </w:t>
      </w:r>
      <w:r>
        <w:t>负荷分项统计</w:t>
      </w:r>
      <w:r>
        <w:tab/>
      </w:r>
      <w:r>
        <w:fldChar w:fldCharType="begin"/>
      </w:r>
      <w:r>
        <w:instrText xml:space="preserve"> PAGEREF _Toc1625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_Toc12011 </w:instrText>
      </w:r>
      <w:r>
        <w:fldChar w:fldCharType="separate"/>
      </w:r>
      <w:r>
        <w:rPr>
          <w:rFonts w:hint="eastAsia"/>
        </w:rPr>
        <w:t xml:space="preserve">9 </w:t>
      </w:r>
      <w:r>
        <w:t>参照建筑</w:t>
      </w:r>
      <w:r>
        <w:tab/>
      </w:r>
      <w:r>
        <w:fldChar w:fldCharType="begin"/>
      </w:r>
      <w:r>
        <w:instrText xml:space="preserve"> PAGEREF _Toc12011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_Toc18554 </w:instrText>
      </w:r>
      <w:r>
        <w:fldChar w:fldCharType="separate"/>
      </w:r>
      <w:r>
        <w:rPr>
          <w:rFonts w:hint="eastAsia"/>
          <w:lang w:val="en-GB"/>
        </w:rPr>
        <w:t xml:space="preserve">9.1 </w:t>
      </w:r>
      <w:r>
        <w:t>负荷分项统计</w:t>
      </w:r>
      <w:r>
        <w:tab/>
      </w:r>
      <w:r>
        <w:fldChar w:fldCharType="begin"/>
      </w:r>
      <w:r>
        <w:instrText xml:space="preserve"> PAGEREF _Toc18554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_Toc31724 </w:instrText>
      </w:r>
      <w:r>
        <w:fldChar w:fldCharType="separate"/>
      </w:r>
      <w:r>
        <w:rPr>
          <w:rFonts w:hint="eastAsia"/>
        </w:rPr>
        <w:t xml:space="preserve">10 </w:t>
      </w:r>
      <w:r>
        <w:t>计算结果</w:t>
      </w:r>
      <w:r>
        <w:tab/>
      </w:r>
      <w:r>
        <w:fldChar w:fldCharType="begin"/>
      </w:r>
      <w:r>
        <w:instrText xml:space="preserve"> PAGEREF _Toc31724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_Toc29546 </w:instrText>
      </w:r>
      <w:r>
        <w:fldChar w:fldCharType="separate"/>
      </w:r>
      <w:r>
        <w:rPr>
          <w:rFonts w:hint="eastAsia"/>
          <w:lang w:val="en-GB"/>
        </w:rPr>
        <w:t xml:space="preserve">10.1 </w:t>
      </w:r>
      <w:r>
        <w:t>围护结构热工性能对比</w:t>
      </w:r>
      <w:r>
        <w:tab/>
      </w:r>
      <w:r>
        <w:fldChar w:fldCharType="begin"/>
      </w:r>
      <w:r>
        <w:instrText xml:space="preserve"> PAGEREF _Toc29546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_Toc24804 </w:instrText>
      </w:r>
      <w:r>
        <w:fldChar w:fldCharType="separate"/>
      </w:r>
      <w:r>
        <w:rPr>
          <w:rFonts w:hint="eastAsia"/>
          <w:lang w:val="en-GB"/>
        </w:rPr>
        <w:t xml:space="preserve">10.2 </w:t>
      </w:r>
      <w:r>
        <w:t>围护结构节能率</w:t>
      </w:r>
      <w:r>
        <w:tab/>
      </w:r>
      <w:r>
        <w:fldChar w:fldCharType="begin"/>
      </w:r>
      <w:r>
        <w:instrText xml:space="preserve"> PAGEREF _Toc24804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_Toc16454 </w:instrText>
      </w:r>
      <w:r>
        <w:fldChar w:fldCharType="separate"/>
      </w:r>
      <w:r>
        <w:rPr>
          <w:rFonts w:hint="eastAsia"/>
        </w:rPr>
        <w:t xml:space="preserve">11 </w:t>
      </w:r>
      <w:r>
        <w:t>绿色建筑性能评估得分</w:t>
      </w:r>
      <w:r>
        <w:tab/>
      </w:r>
      <w:r>
        <w:fldChar w:fldCharType="begin"/>
      </w:r>
      <w:r>
        <w:instrText xml:space="preserve"> PAGEREF _Toc16454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_Toc32672 </w:instrText>
      </w:r>
      <w:r>
        <w:fldChar w:fldCharType="separate"/>
      </w:r>
      <w:r>
        <w:rPr>
          <w:rFonts w:hint="eastAsia"/>
        </w:rPr>
        <w:t xml:space="preserve">12 </w:t>
      </w:r>
      <w:r>
        <w:t>附录</w:t>
      </w:r>
      <w:r>
        <w:tab/>
      </w:r>
      <w:r>
        <w:fldChar w:fldCharType="begin"/>
      </w:r>
      <w:r>
        <w:instrText xml:space="preserve"> PAGEREF _Toc32672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_Toc27205 </w:instrText>
      </w:r>
      <w:r>
        <w:fldChar w:fldCharType="separate"/>
      </w:r>
      <w:r>
        <w:rPr>
          <w:rFonts w:hint="eastAsia"/>
          <w:lang w:val="en-GB"/>
        </w:rPr>
        <w:t xml:space="preserve">12.1 </w:t>
      </w:r>
      <w:r>
        <w:t>工作日/节假日人员逐时在室率(%)</w:t>
      </w:r>
      <w:r>
        <w:tab/>
      </w:r>
      <w:r>
        <w:fldChar w:fldCharType="begin"/>
      </w:r>
      <w:r>
        <w:instrText xml:space="preserve"> PAGEREF _Toc27205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_Toc11434 </w:instrText>
      </w:r>
      <w:r>
        <w:fldChar w:fldCharType="separate"/>
      </w:r>
      <w:r>
        <w:rPr>
          <w:rFonts w:hint="eastAsia"/>
          <w:lang w:val="en-GB"/>
        </w:rPr>
        <w:t xml:space="preserve">12.2 </w:t>
      </w:r>
      <w:r>
        <w:t>工作日/节假日照明开关时间表(%)</w:t>
      </w:r>
      <w:r>
        <w:tab/>
      </w:r>
      <w:r>
        <w:fldChar w:fldCharType="begin"/>
      </w:r>
      <w:r>
        <w:instrText xml:space="preserve"> PAGEREF _Toc11434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_Toc10547 </w:instrText>
      </w:r>
      <w:r>
        <w:fldChar w:fldCharType="separate"/>
      </w:r>
      <w:r>
        <w:rPr>
          <w:rFonts w:hint="eastAsia"/>
          <w:lang w:val="en-GB"/>
        </w:rPr>
        <w:t xml:space="preserve">12.3 </w:t>
      </w:r>
      <w:r>
        <w:t>工作日/节假日设备逐时使用率(%)</w:t>
      </w:r>
      <w:r>
        <w:tab/>
      </w:r>
      <w:r>
        <w:fldChar w:fldCharType="begin"/>
      </w:r>
      <w:r>
        <w:instrText xml:space="preserve"> PAGEREF _Toc10547 \h </w:instrText>
      </w:r>
      <w:r>
        <w:fldChar w:fldCharType="separate"/>
      </w:r>
      <w:r>
        <w:t>10</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5009"/>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江苏-苏州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31.32</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120.62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1003</w:t>
            </w:r>
            <w:r>
              <w:rPr>
                <w:rFonts w:hint="eastAsia" w:ascii="宋体" w:hAnsi="宋体"/>
                <w:lang w:val="en-US"/>
              </w:rPr>
              <w:t xml:space="preserve">    地下</w:t>
            </w:r>
            <w:bookmarkStart w:id="16" w:name="地下建筑面积"/>
            <w:r>
              <w:rPr>
                <w:rFonts w:hint="eastAsia" w:ascii="宋体" w:hAnsi="宋体"/>
                <w:lang w:val="en-US"/>
              </w:rP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高度"/>
            <w:r>
              <w:rPr>
                <w:rFonts w:hint="eastAsia" w:ascii="宋体" w:hAnsi="宋体"/>
                <w:lang w:val="en-US"/>
              </w:rPr>
              <w:t>6.0</w:t>
            </w:r>
            <w:bookmarkEnd w:id="19"/>
            <w:r>
              <w:rPr>
                <w:rFonts w:hint="eastAsia" w:ascii="宋体" w:hAnsi="宋体"/>
                <w:lang w:val="en-US"/>
              </w:rPr>
              <w:t xml:space="preserve">     地下</w:t>
            </w:r>
            <w:bookmarkStart w:id="20" w:name="地下建筑高度"/>
            <w:r>
              <w:rPr>
                <w:rFonts w:hint="eastAsia" w:ascii="宋体" w:hAnsi="宋体"/>
                <w:lang w:val="en-US"/>
              </w:rPr>
              <w:t>0.0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建筑体积"/>
            <w:r>
              <w:t>2928.71</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外表面积"/>
            <w:r>
              <w:t>1357.39</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3" w:name="北向角度"/>
            <w:r>
              <w:t>90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4" w:name="结构类型"/>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5" w:name="外墙ρ"/>
            <w:r>
              <w:rPr>
                <w:rFonts w:hint="eastAsia"/>
              </w:rPr>
              <w:t>0.75</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6" w:name="屋顶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7" w:name="控温期"/>
            <w:r>
              <w:t>供冷期:6.14-8.31,供暖期:12.30-2.20</w:t>
            </w:r>
            <w:bookmarkEnd w:id="27"/>
          </w:p>
        </w:tc>
      </w:tr>
    </w:tbl>
    <w:p>
      <w:pPr>
        <w:pStyle w:val="3"/>
        <w:ind w:firstLine="0" w:firstLineChars="0"/>
        <w:rPr>
          <w:lang w:val="en-US"/>
        </w:rPr>
      </w:pPr>
      <w:bookmarkStart w:id="28" w:name="TitleFormat"/>
    </w:p>
    <w:p>
      <w:pPr>
        <w:pStyle w:val="3"/>
        <w:ind w:firstLine="0" w:firstLineChars="0"/>
        <w:rPr>
          <w:lang w:val="en-US"/>
        </w:rPr>
      </w:pPr>
    </w:p>
    <w:p>
      <w:pPr>
        <w:pStyle w:val="2"/>
      </w:pPr>
      <w:bookmarkStart w:id="29" w:name="_Toc20141"/>
      <w:r>
        <w:rPr>
          <w:rFonts w:hint="eastAsia"/>
        </w:rPr>
        <w:t>计算依据</w:t>
      </w:r>
      <w:bookmarkEnd w:id="29"/>
    </w:p>
    <w:bookmarkEnd w:id="28"/>
    <w:p>
      <w:pPr>
        <w:widowControl w:val="0"/>
        <w:jc w:val="both"/>
        <w:rPr>
          <w:kern w:val="2"/>
          <w:szCs w:val="24"/>
          <w:lang w:val="en-US"/>
        </w:rPr>
      </w:pPr>
      <w:bookmarkStart w:id="30" w:name="计算依据"/>
      <w:bookmarkEnd w:id="30"/>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1" w:name="_Toc11070"/>
      <w:bookmarkStart w:id="32" w:name="_Toc13616"/>
      <w:r>
        <w:rPr>
          <w:rFonts w:hint="eastAsia"/>
        </w:rPr>
        <w:t>计算要求</w:t>
      </w:r>
      <w:bookmarkEnd w:id="31"/>
      <w:bookmarkEnd w:id="32"/>
    </w:p>
    <w:p>
      <w:pPr>
        <w:pStyle w:val="4"/>
        <w:tabs>
          <w:tab w:val="clear" w:pos="578"/>
        </w:tabs>
        <w:rPr>
          <w:kern w:val="2"/>
          <w:sz w:val="21"/>
        </w:rPr>
      </w:pPr>
      <w:bookmarkStart w:id="33" w:name="_Toc9695"/>
      <w:bookmarkStart w:id="34" w:name="_Toc22090"/>
      <w:r>
        <w:rPr>
          <w:rFonts w:hint="eastAsia"/>
          <w:kern w:val="2"/>
          <w:sz w:val="21"/>
        </w:rPr>
        <w:t>计算目标</w:t>
      </w:r>
      <w:bookmarkEnd w:id="33"/>
      <w:bookmarkEnd w:id="34"/>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5" w:name="_Toc13744"/>
      <w:bookmarkStart w:id="36" w:name="_Toc5419"/>
      <w:r>
        <w:rPr>
          <w:rFonts w:hint="eastAsia"/>
          <w:kern w:val="2"/>
          <w:sz w:val="21"/>
        </w:rPr>
        <w:t>计算方法</w:t>
      </w:r>
      <w:bookmarkEnd w:id="35"/>
      <w:bookmarkEnd w:id="36"/>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7" w:name="_Toc444763006"/>
    </w:p>
    <w:p>
      <w:pPr>
        <w:pStyle w:val="2"/>
      </w:pPr>
      <w:bookmarkStart w:id="38" w:name="_Toc59787735"/>
      <w:bookmarkStart w:id="39" w:name="_Toc58336110"/>
      <w:bookmarkStart w:id="40" w:name="_Toc13588"/>
      <w:r>
        <w:rPr>
          <w:rFonts w:hint="eastAsia"/>
        </w:rPr>
        <w:t>软件介绍</w:t>
      </w:r>
      <w:bookmarkEnd w:id="38"/>
      <w:bookmarkEnd w:id="39"/>
      <w:bookmarkEnd w:id="40"/>
    </w:p>
    <w:p>
      <w:pPr>
        <w:pStyle w:val="3"/>
        <w:ind w:firstLine="420"/>
        <w:rPr>
          <w:lang w:val="en-US"/>
        </w:rPr>
      </w:pPr>
      <w:r>
        <w:rPr>
          <w:rFonts w:hint="eastAsia"/>
          <w:lang w:val="en-US"/>
        </w:rPr>
        <w:t>本</w:t>
      </w:r>
      <w:r>
        <w:rPr>
          <w:lang w:val="en-US"/>
        </w:rPr>
        <w:t>报告</w:t>
      </w:r>
      <w:r>
        <w:rPr>
          <w:rFonts w:hint="eastAsia"/>
          <w:lang w:val="en-US"/>
        </w:rPr>
        <w:t>内容由</w:t>
      </w:r>
      <w:bookmarkStart w:id="41" w:name="软件全称＃2"/>
      <w:r>
        <w:rPr>
          <w:rFonts w:hint="eastAsia"/>
          <w:lang w:val="en-US"/>
        </w:rPr>
        <w:t>能耗计算BESI2023</w:t>
      </w:r>
      <w:bookmarkEnd w:id="41"/>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7"/>
    <w:p>
      <w:pPr>
        <w:pStyle w:val="2"/>
      </w:pPr>
      <w:bookmarkStart w:id="42" w:name="_Toc24721"/>
      <w:r>
        <w:rPr>
          <w:rFonts w:hint="eastAsia"/>
        </w:rPr>
        <w:t>气象数据</w:t>
      </w:r>
      <w:bookmarkEnd w:id="42"/>
    </w:p>
    <w:p>
      <w:pPr>
        <w:pStyle w:val="4"/>
      </w:pPr>
      <w:bookmarkStart w:id="43" w:name="_Toc32399"/>
      <w:r>
        <w:rPr>
          <w:rFonts w:hint="eastAsia"/>
        </w:rPr>
        <w:t>气象地点</w:t>
      </w:r>
      <w:bookmarkEnd w:id="43"/>
    </w:p>
    <w:p>
      <w:pPr>
        <w:pStyle w:val="3"/>
        <w:ind w:firstLine="420"/>
        <w:rPr>
          <w:lang w:val="en-US"/>
        </w:rPr>
      </w:pPr>
      <w:bookmarkStart w:id="44" w:name="气象数据来源"/>
      <w:r>
        <w:t>上海-上海, 《中国建筑热环境分析专用气象数据集》</w:t>
      </w:r>
      <w:bookmarkEnd w:id="44"/>
    </w:p>
    <w:p>
      <w:pPr>
        <w:pStyle w:val="4"/>
      </w:pPr>
      <w:bookmarkStart w:id="45" w:name="_Toc10979"/>
      <w:r>
        <w:rPr>
          <w:rFonts w:hint="eastAsia"/>
        </w:rPr>
        <w:t>逐日干球温度表</w:t>
      </w:r>
      <w:bookmarkEnd w:id="45"/>
    </w:p>
    <w:p>
      <w:pPr>
        <w:pStyle w:val="3"/>
        <w:ind w:firstLine="0" w:firstLineChars="0"/>
        <w:rPr>
          <w:lang w:val="en-US"/>
        </w:rPr>
      </w:pPr>
      <w:bookmarkStart w:id="46" w:name="日均干球温度变化表"/>
      <w:bookmarkEnd w:id="46"/>
    </w:p>
    <w:p>
      <w:pPr>
        <w:pStyle w:val="4"/>
      </w:pPr>
      <w:bookmarkStart w:id="47" w:name="_Toc7151"/>
      <w:r>
        <w:rPr>
          <w:rFonts w:hint="eastAsia"/>
        </w:rPr>
        <w:t>逐月辐照量表</w:t>
      </w:r>
      <w:bookmarkEnd w:id="47"/>
    </w:p>
    <w:p>
      <w:pPr>
        <w:pStyle w:val="3"/>
        <w:ind w:firstLine="0" w:firstLineChars="0"/>
        <w:rPr>
          <w:lang w:val="en-US"/>
        </w:rPr>
      </w:pPr>
      <w:bookmarkStart w:id="48" w:name="逐月辐照量图表"/>
      <w:bookmarkEnd w:id="48"/>
    </w:p>
    <w:p>
      <w:pPr>
        <w:pStyle w:val="4"/>
      </w:pPr>
      <w:bookmarkStart w:id="49" w:name="_Toc3045"/>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06月29日14时</w:t>
            </w:r>
          </w:p>
        </w:tc>
        <w:tc>
          <w:tcPr>
            <w:vAlign w:val="center"/>
          </w:tcPr>
          <w:p>
            <w:r>
              <w:t>36.7</w:t>
            </w:r>
          </w:p>
        </w:tc>
        <w:tc>
          <w:tcPr>
            <w:vAlign w:val="center"/>
          </w:tcPr>
          <w:p>
            <w:r>
              <w:t>28.9</w:t>
            </w:r>
          </w:p>
        </w:tc>
        <w:tc>
          <w:tcPr>
            <w:vAlign w:val="center"/>
          </w:tcPr>
          <w:p>
            <w:r>
              <w:t>22.3</w:t>
            </w:r>
          </w:p>
        </w:tc>
        <w:tc>
          <w:tcPr>
            <w:vAlign w:val="center"/>
          </w:tcPr>
          <w:p>
            <w:r>
              <w:t>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01月10日05时</w:t>
            </w:r>
          </w:p>
        </w:tc>
        <w:tc>
          <w:tcPr>
            <w:vAlign w:val="center"/>
          </w:tcPr>
          <w:p>
            <w:r>
              <w:t>-4.4</w:t>
            </w:r>
          </w:p>
        </w:tc>
        <w:tc>
          <w:tcPr>
            <w:vAlign w:val="center"/>
          </w:tcPr>
          <w:p>
            <w:r>
              <w:t>-5.0</w:t>
            </w:r>
          </w:p>
        </w:tc>
        <w:tc>
          <w:tcPr>
            <w:vAlign w:val="center"/>
          </w:tcPr>
          <w:p>
            <w:r>
              <w:t>2.2</w:t>
            </w:r>
          </w:p>
        </w:tc>
        <w:tc>
          <w:tcPr>
            <w:vAlign w:val="center"/>
          </w:tcPr>
          <w:p>
            <w:r>
              <w:t>1.0</w:t>
            </w:r>
          </w:p>
        </w:tc>
      </w:tr>
    </w:tbl>
    <w:p>
      <w:pPr>
        <w:pStyle w:val="2"/>
        <w:widowControl w:val="0"/>
        <w:jc w:val="both"/>
      </w:pPr>
      <w:bookmarkStart w:id="50" w:name="气象峰值工况"/>
      <w:bookmarkEnd w:id="50"/>
      <w:bookmarkStart w:id="51" w:name="_Toc17191"/>
      <w:r>
        <w:t>围护结构</w:t>
      </w:r>
      <w:bookmarkEnd w:id="51"/>
    </w:p>
    <w:p>
      <w:pPr>
        <w:pStyle w:val="4"/>
        <w:widowControl w:val="0"/>
        <w:jc w:val="both"/>
      </w:pPr>
      <w:bookmarkStart w:id="52" w:name="_Toc22179"/>
      <w:r>
        <w:t>工程材料</w:t>
      </w:r>
      <w:bookmarkEnd w:id="52"/>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11.310</w:t>
            </w:r>
          </w:p>
        </w:tc>
        <w:tc>
          <w:tcPr>
            <w:vAlign w:val="center"/>
          </w:tcPr>
          <w:p>
            <w:r>
              <w:t>1800.0</w:t>
            </w:r>
          </w:p>
        </w:tc>
        <w:tc>
          <w:tcPr>
            <w:vAlign w:val="center"/>
          </w:tcPr>
          <w:p>
            <w:r>
              <w:t>1050.8</w:t>
            </w:r>
          </w:p>
        </w:tc>
        <w:tc>
          <w:tcPr>
            <w:vAlign w:val="center"/>
          </w:tcPr>
          <w:p>
            <w:r>
              <w:t>0.0000</w:t>
            </w:r>
          </w:p>
        </w:tc>
        <w:tc>
          <w:tcPr>
            <w:vAlign w:val="center"/>
          </w:tcPr>
          <w:p>
            <w:r>
              <w:rPr>
                <w:sz w:val="18"/>
                <w:szCs w:val="18"/>
              </w:rPr>
              <w:t>修正系数=1.00；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修正系数=1.00；</w:t>
            </w:r>
          </w:p>
        </w:tc>
      </w:tr>
    </w:tbl>
    <w:p>
      <w:pPr>
        <w:pStyle w:val="4"/>
        <w:widowControl w:val="0"/>
        <w:jc w:val="both"/>
      </w:pPr>
      <w:bookmarkStart w:id="53" w:name="_Toc17490"/>
      <w:r>
        <w:t>围护结构作法简要说明</w:t>
      </w:r>
      <w:bookmarkEnd w:id="53"/>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 50mm＋</w:t>
      </w:r>
      <w:r>
        <w:rPr>
          <w:color w:val="800000"/>
        </w:rPr>
        <w:t>挤塑聚苯乙烯泡沫塑料（带表皮） 80mm</w:t>
      </w:r>
      <w:r>
        <w:rPr>
          <w:color w:val="000000"/>
        </w:rPr>
        <w:t>＋水泥砂浆（1） 20mm＋碎石、卵石混凝土(ρ=2300) 20mm＋</w:t>
      </w:r>
      <w:r>
        <w:rPr>
          <w:color w:val="800080"/>
        </w:rPr>
        <w:t>钢筋混凝土（1） 120mm</w:t>
      </w:r>
      <w:r>
        <w:rPr>
          <w:color w:val="000000"/>
        </w:rPr>
        <w:t>＋石灰砂浆 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水泥砂浆（1） 20mm＋</w:t>
      </w:r>
      <w:r>
        <w:rPr>
          <w:color w:val="800000"/>
        </w:rPr>
        <w:t>挤塑聚苯乙烯泡沫塑料（带表皮） 60mm</w:t>
      </w:r>
      <w:r>
        <w:rPr>
          <w:color w:val="000000"/>
        </w:rPr>
        <w:t>＋水泥砂浆 20mm＋加气混凝土、泡沫混凝土(ρ=700) 240mm＋水泥砂浆 20mm</w:t>
      </w:r>
    </w:p>
    <w:p>
      <w:pPr>
        <w:widowControl w:val="0"/>
        <w:jc w:val="both"/>
        <w:rPr>
          <w:color w:val="000000"/>
        </w:rPr>
      </w:pPr>
    </w:p>
    <w:p>
      <w:pPr>
        <w:widowControl w:val="0"/>
        <w:jc w:val="both"/>
        <w:rPr>
          <w:color w:val="000000"/>
        </w:rPr>
      </w:pPr>
      <w:r>
        <w:rPr>
          <w:b/>
          <w:color w:val="000000"/>
          <w:sz w:val="24"/>
          <w:szCs w:val="24"/>
        </w:rPr>
        <w:t>3.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60mm</w:t>
      </w:r>
      <w:r>
        <w:rPr>
          <w:color w:val="000000"/>
        </w:rPr>
        <w:t>＋水泥砂浆 20mm</w:t>
      </w:r>
    </w:p>
    <w:p>
      <w:pPr>
        <w:widowControl w:val="0"/>
        <w:jc w:val="both"/>
        <w:rPr>
          <w:color w:val="000000"/>
        </w:rPr>
      </w:pPr>
    </w:p>
    <w:p>
      <w:pPr>
        <w:widowControl w:val="0"/>
        <w:jc w:val="both"/>
        <w:rPr>
          <w:color w:val="000000"/>
        </w:rPr>
      </w:pPr>
      <w:r>
        <w:rPr>
          <w:b/>
          <w:color w:val="000000"/>
          <w:sz w:val="24"/>
          <w:szCs w:val="24"/>
        </w:rPr>
        <w:t>4. 外窗构造：</w:t>
      </w:r>
      <w:r>
        <w:rPr>
          <w:color w:val="0000FF"/>
          <w:sz w:val="21"/>
          <w:szCs w:val="21"/>
        </w:rPr>
        <w:t>平开玻纤增强聚氨酯窗-5Low-E+12Ar+5：</w:t>
      </w:r>
    </w:p>
    <w:p>
      <w:pPr>
        <w:widowControl w:val="0"/>
        <w:jc w:val="both"/>
        <w:rPr>
          <w:color w:val="000000"/>
        </w:rPr>
      </w:pPr>
      <w:r>
        <w:rPr>
          <w:color w:val="000000"/>
        </w:rPr>
        <w:t xml:space="preserve">    传热系数1.800W/m^2.K，太阳得热系数0.435</w:t>
      </w:r>
    </w:p>
    <w:p>
      <w:pPr>
        <w:widowControl w:val="0"/>
        <w:jc w:val="both"/>
        <w:rPr>
          <w:color w:val="000000"/>
        </w:rPr>
      </w:pPr>
    </w:p>
    <w:p>
      <w:pPr>
        <w:pStyle w:val="2"/>
        <w:widowControl w:val="0"/>
        <w:jc w:val="both"/>
        <w:rPr>
          <w:color w:val="000000"/>
        </w:rPr>
      </w:pPr>
      <w:bookmarkStart w:id="54" w:name="_Toc18188"/>
      <w:r>
        <w:rPr>
          <w:color w:val="000000"/>
        </w:rPr>
        <w:t>房间类型</w:t>
      </w:r>
      <w:bookmarkEnd w:id="54"/>
    </w:p>
    <w:p>
      <w:pPr>
        <w:pStyle w:val="4"/>
        <w:widowControl w:val="0"/>
        <w:jc w:val="both"/>
        <w:rPr>
          <w:color w:val="000000"/>
        </w:rPr>
      </w:pPr>
      <w:bookmarkStart w:id="55" w:name="_Toc20219"/>
      <w:r>
        <w:rPr>
          <w:color w:val="000000"/>
        </w:rPr>
        <w:t>房间表</w:t>
      </w:r>
      <w:bookmarkEnd w:id="5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宾馆-3星级客房</w:t>
            </w:r>
          </w:p>
        </w:tc>
        <w:tc>
          <w:tcPr>
            <w:vAlign w:val="center"/>
          </w:tcPr>
          <w:p>
            <w:pPr>
              <w:jc w:val="center"/>
            </w:pPr>
            <w:r>
              <w:t>25</w:t>
            </w:r>
          </w:p>
        </w:tc>
        <w:tc>
          <w:tcPr>
            <w:vAlign w:val="center"/>
          </w:tcPr>
          <w:p>
            <w:pPr>
              <w:jc w:val="center"/>
            </w:pPr>
            <w:r>
              <w:t>22</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15(㎡/人)</w:t>
            </w:r>
          </w:p>
        </w:tc>
        <w:tc>
          <w:tcPr>
            <w:vAlign w:val="center"/>
          </w:tcPr>
          <w:p>
            <w:pPr>
              <w:jc w:val="center"/>
            </w:pPr>
            <w:r>
              <w:t>15(W/㎡)</w:t>
            </w:r>
          </w:p>
        </w:tc>
        <w:tc>
          <w:tcPr>
            <w:vAlign w:val="center"/>
          </w:tcPr>
          <w:p>
            <w:pPr>
              <w:jc w:val="center"/>
            </w:pPr>
            <w:r>
              <w:t>20(W/㎡)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宾馆-3星级餐厅</w:t>
            </w:r>
          </w:p>
        </w:tc>
        <w:tc>
          <w:tcPr>
            <w:vAlign w:val="center"/>
          </w:tcPr>
          <w:p>
            <w:pPr>
              <w:jc w:val="center"/>
            </w:pPr>
            <w:r>
              <w:t>25</w:t>
            </w:r>
          </w:p>
        </w:tc>
        <w:tc>
          <w:tcPr>
            <w:vAlign w:val="center"/>
          </w:tcPr>
          <w:p>
            <w:pPr>
              <w:jc w:val="center"/>
            </w:pPr>
            <w:r>
              <w:t>22</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13(W/㎡)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宾馆-走廊</w:t>
            </w:r>
          </w:p>
        </w:tc>
        <w:tc>
          <w:tcPr>
            <w:vAlign w:val="center"/>
          </w:tcPr>
          <w:p>
            <w:pPr>
              <w:jc w:val="center"/>
            </w:pPr>
            <w:r>
              <w:t>26</w:t>
            </w:r>
          </w:p>
        </w:tc>
        <w:tc>
          <w:tcPr>
            <w:vAlign w:val="center"/>
          </w:tcPr>
          <w:p>
            <w:pPr>
              <w:jc w:val="center"/>
            </w:pPr>
            <w:r>
              <w:t>18</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5(W/㎡)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4"/>
        <w:widowControl w:val="0"/>
        <w:jc w:val="both"/>
        <w:rPr>
          <w:color w:val="000000"/>
        </w:rPr>
      </w:pPr>
      <w:bookmarkStart w:id="56" w:name="_Toc27781"/>
      <w:r>
        <w:rPr>
          <w:color w:val="000000"/>
        </w:rPr>
        <w:t>作息时间表</w:t>
      </w:r>
      <w:bookmarkEnd w:id="56"/>
    </w:p>
    <w:p>
      <w:pPr>
        <w:widowControl w:val="0"/>
        <w:jc w:val="both"/>
        <w:rPr>
          <w:color w:val="000000"/>
        </w:rPr>
      </w:pPr>
      <w:r>
        <w:rPr>
          <w:color w:val="000000"/>
        </w:rPr>
        <w:t>详见附录</w:t>
      </w:r>
    </w:p>
    <w:p>
      <w:pPr>
        <w:pStyle w:val="2"/>
        <w:widowControl w:val="0"/>
        <w:jc w:val="both"/>
        <w:rPr>
          <w:color w:val="000000"/>
        </w:rPr>
      </w:pPr>
      <w:bookmarkStart w:id="57" w:name="_Toc723"/>
      <w:r>
        <w:rPr>
          <w:color w:val="000000"/>
        </w:rPr>
        <w:t>设计建筑</w:t>
      </w:r>
      <w:bookmarkEnd w:id="57"/>
    </w:p>
    <w:p>
      <w:pPr>
        <w:pStyle w:val="4"/>
        <w:widowControl w:val="0"/>
        <w:jc w:val="both"/>
        <w:rPr>
          <w:color w:val="000000"/>
        </w:rPr>
      </w:pPr>
      <w:bookmarkStart w:id="58" w:name="_Toc1625"/>
      <w:r>
        <w:rPr>
          <w:color w:val="000000"/>
        </w:rPr>
        <w:t>负荷分项统计</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-14.66</w:t>
            </w:r>
          </w:p>
        </w:tc>
        <w:tc>
          <w:tcPr>
            <w:vAlign w:val="center"/>
          </w:tcPr>
          <w:p>
            <w:r>
              <w:t>7.05</w:t>
            </w:r>
          </w:p>
        </w:tc>
        <w:tc>
          <w:tcPr>
            <w:vAlign w:val="center"/>
          </w:tcPr>
          <w:p>
            <w:r>
              <w:t>1.50</w:t>
            </w:r>
          </w:p>
        </w:tc>
        <w:tc>
          <w:tcPr>
            <w:vAlign w:val="center"/>
          </w:tcPr>
          <w:p>
            <w:r>
              <w:t>-10.57</w:t>
            </w:r>
          </w:p>
        </w:tc>
        <w:tc>
          <w:tcPr>
            <w:vAlign w:val="center"/>
          </w:tcPr>
          <w:p>
            <w:r>
              <w:t>0.00</w:t>
            </w:r>
          </w:p>
        </w:tc>
        <w:tc>
          <w:tcPr>
            <w:vAlign w:val="center"/>
          </w:tcPr>
          <w:p>
            <w:r>
              <w:t>-16.68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2.63</w:t>
            </w:r>
          </w:p>
        </w:tc>
        <w:tc>
          <w:tcPr>
            <w:vAlign w:val="center"/>
          </w:tcPr>
          <w:p>
            <w:r>
              <w:t>16.16</w:t>
            </w:r>
          </w:p>
        </w:tc>
        <w:tc>
          <w:tcPr>
            <w:vAlign w:val="center"/>
          </w:tcPr>
          <w:p>
            <w:r>
              <w:t>2.72</w:t>
            </w:r>
          </w:p>
        </w:tc>
        <w:tc>
          <w:tcPr>
            <w:vAlign w:val="center"/>
          </w:tcPr>
          <w:p>
            <w:r>
              <w:t>21.48</w:t>
            </w:r>
          </w:p>
        </w:tc>
        <w:tc>
          <w:tcPr>
            <w:vAlign w:val="center"/>
          </w:tcPr>
          <w:p>
            <w:r>
              <w:t>0.00</w:t>
            </w:r>
          </w:p>
        </w:tc>
        <w:tc>
          <w:tcPr>
            <w:vAlign w:val="center"/>
          </w:tcPr>
          <w:p>
            <w:r>
              <w:t>43.00</w:t>
            </w:r>
          </w:p>
        </w:tc>
      </w:tr>
    </w:tbl>
    <w:p>
      <w:pPr>
        <w:pStyle w:val="2"/>
      </w:pPr>
      <w:bookmarkStart w:id="59" w:name="_Toc12011"/>
      <w:r>
        <w:t>参照建筑</w:t>
      </w:r>
      <w:bookmarkEnd w:id="59"/>
    </w:p>
    <w:p>
      <w:pPr>
        <w:pStyle w:val="4"/>
        <w:widowControl w:val="0"/>
        <w:jc w:val="both"/>
        <w:rPr>
          <w:color w:val="000000"/>
        </w:rPr>
      </w:pPr>
      <w:bookmarkStart w:id="60" w:name="_Toc18554"/>
      <w:r>
        <w:rPr>
          <w:color w:val="000000"/>
        </w:rP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-22.38</w:t>
            </w:r>
          </w:p>
        </w:tc>
        <w:tc>
          <w:tcPr>
            <w:vAlign w:val="center"/>
          </w:tcPr>
          <w:p>
            <w:r>
              <w:t>7.58</w:t>
            </w:r>
          </w:p>
        </w:tc>
        <w:tc>
          <w:tcPr>
            <w:vAlign w:val="center"/>
          </w:tcPr>
          <w:p>
            <w:r>
              <w:t>1.63</w:t>
            </w:r>
          </w:p>
        </w:tc>
        <w:tc>
          <w:tcPr>
            <w:vAlign w:val="center"/>
          </w:tcPr>
          <w:p>
            <w:r>
              <w:t>-10.66</w:t>
            </w:r>
          </w:p>
        </w:tc>
        <w:tc>
          <w:tcPr>
            <w:vAlign w:val="center"/>
          </w:tcPr>
          <w:p>
            <w:r>
              <w:t>0.00</w:t>
            </w:r>
          </w:p>
        </w:tc>
        <w:tc>
          <w:tcPr>
            <w:vAlign w:val="center"/>
          </w:tcPr>
          <w:p>
            <w:r>
              <w:t>-23.84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5.06</w:t>
            </w:r>
          </w:p>
        </w:tc>
        <w:tc>
          <w:tcPr>
            <w:vAlign w:val="center"/>
          </w:tcPr>
          <w:p>
            <w:r>
              <w:t>16.17</w:t>
            </w:r>
          </w:p>
        </w:tc>
        <w:tc>
          <w:tcPr>
            <w:vAlign w:val="center"/>
          </w:tcPr>
          <w:p>
            <w:r>
              <w:t>2.81</w:t>
            </w:r>
          </w:p>
        </w:tc>
        <w:tc>
          <w:tcPr>
            <w:vAlign w:val="center"/>
          </w:tcPr>
          <w:p>
            <w:r>
              <w:t>21.46</w:t>
            </w:r>
          </w:p>
        </w:tc>
        <w:tc>
          <w:tcPr>
            <w:vAlign w:val="center"/>
          </w:tcPr>
          <w:p>
            <w:r>
              <w:t>0.00</w:t>
            </w:r>
          </w:p>
        </w:tc>
        <w:tc>
          <w:tcPr>
            <w:vAlign w:val="center"/>
          </w:tcPr>
          <w:p>
            <w:r>
              <w:t>45.50</w:t>
            </w:r>
          </w:p>
        </w:tc>
      </w:tr>
    </w:tbl>
    <w:p>
      <w:pPr>
        <w:pStyle w:val="2"/>
      </w:pPr>
      <w:bookmarkStart w:id="61" w:name="_Toc31724"/>
      <w:r>
        <w:t>计算结果</w:t>
      </w:r>
      <w:bookmarkEnd w:id="61"/>
    </w:p>
    <w:p>
      <w:pPr>
        <w:pStyle w:val="4"/>
        <w:widowControl w:val="0"/>
        <w:jc w:val="both"/>
        <w:rPr>
          <w:color w:val="000000"/>
        </w:rPr>
      </w:pPr>
      <w:bookmarkStart w:id="62" w:name="_Toc29546"/>
      <w:r>
        <w:rPr>
          <w:color w:val="000000"/>
        </w:rPr>
        <w:t>围护结构热工性能对比</w:t>
      </w:r>
      <w:bookmarkEnd w:id="62"/>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63" w:name="设计建筑别名"/>
            <w:r>
              <w:rPr>
                <w:rFonts w:hAnsi="宋体" w:eastAsia="宋体"/>
                <w:bCs/>
                <w:sz w:val="21"/>
                <w:szCs w:val="21"/>
                <w:lang w:eastAsia="zh-CN"/>
              </w:rPr>
              <w:t>设计建筑</w:t>
            </w:r>
            <w:bookmarkEnd w:id="63"/>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64" w:name="参照建筑别名"/>
            <w:r>
              <w:rPr>
                <w:rFonts w:hAnsi="宋体" w:eastAsia="宋体"/>
                <w:kern w:val="0"/>
                <w:sz w:val="21"/>
                <w:szCs w:val="21"/>
                <w:lang w:eastAsia="zh-CN"/>
              </w:rPr>
              <w:t>参照建筑</w:t>
            </w:r>
            <w:bookmarkEnd w:id="6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65" w:name="屋顶K"/>
            <w:r>
              <w:rPr>
                <w:rFonts w:hint="eastAsia" w:eastAsia="宋体"/>
                <w:bCs/>
                <w:sz w:val="21"/>
                <w:szCs w:val="21"/>
                <w:lang w:eastAsia="zh-CN"/>
              </w:rPr>
              <w:t>0.34</w:t>
            </w:r>
            <w:bookmarkEnd w:id="65"/>
            <w:r>
              <w:rPr>
                <w:rFonts w:hint="eastAsia" w:eastAsia="宋体"/>
                <w:bCs/>
                <w:sz w:val="21"/>
                <w:szCs w:val="21"/>
                <w:lang w:eastAsia="zh-CN"/>
              </w:rPr>
              <w:t>(D:</w:t>
            </w:r>
            <w:bookmarkStart w:id="66" w:name="屋顶D"/>
            <w:r>
              <w:rPr>
                <w:rFonts w:hint="eastAsia" w:eastAsia="宋体"/>
                <w:bCs/>
                <w:sz w:val="21"/>
                <w:szCs w:val="21"/>
                <w:lang w:eastAsia="zh-CN"/>
              </w:rPr>
              <w:t>3.29</w:t>
            </w:r>
            <w:bookmarkEnd w:id="66"/>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67" w:name="参照建筑屋顶K"/>
            <w:r>
              <w:rPr>
                <w:rFonts w:hint="eastAsia" w:eastAsia="宋体"/>
                <w:kern w:val="0"/>
                <w:sz w:val="21"/>
                <w:szCs w:val="21"/>
                <w:lang w:eastAsia="zh-CN"/>
              </w:rPr>
              <w:t>0.40</w:t>
            </w:r>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68" w:name="外墙K"/>
            <w:r>
              <w:rPr>
                <w:rFonts w:hint="eastAsia" w:eastAsia="宋体"/>
                <w:bCs/>
                <w:sz w:val="21"/>
                <w:szCs w:val="21"/>
                <w:lang w:eastAsia="zh-CN"/>
              </w:rPr>
              <w:t>0.31</w:t>
            </w:r>
            <w:bookmarkEnd w:id="68"/>
            <w:r>
              <w:rPr>
                <w:rFonts w:hint="eastAsia" w:eastAsia="宋体"/>
                <w:bCs/>
                <w:sz w:val="21"/>
                <w:szCs w:val="21"/>
                <w:lang w:eastAsia="zh-CN"/>
              </w:rPr>
              <w:t>(D:</w:t>
            </w:r>
            <w:bookmarkStart w:id="69" w:name="外墙D"/>
            <w:r>
              <w:rPr>
                <w:rFonts w:hint="eastAsia" w:eastAsia="宋体"/>
                <w:bCs/>
                <w:sz w:val="21"/>
                <w:szCs w:val="21"/>
                <w:lang w:eastAsia="zh-CN"/>
              </w:rPr>
              <w:t>5.55</w:t>
            </w:r>
            <w:bookmarkEnd w:id="69"/>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70" w:name="参照建筑外墙K"/>
            <w:r>
              <w:rPr>
                <w:rFonts w:hint="eastAsia" w:eastAsia="宋体"/>
                <w:kern w:val="0"/>
                <w:sz w:val="21"/>
                <w:szCs w:val="21"/>
                <w:lang w:eastAsia="zh-CN"/>
              </w:rPr>
              <w:t>0.80</w:t>
            </w:r>
            <w:bookmarkEnd w:id="7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71" w:name="天窗K"/>
            <w:r>
              <w:rPr>
                <w:rFonts w:hint="eastAsia" w:eastAsia="宋体"/>
                <w:bCs/>
                <w:sz w:val="21"/>
                <w:szCs w:val="21"/>
                <w:lang w:eastAsia="zh-CN"/>
              </w:rPr>
              <w:t>－</w:t>
            </w:r>
            <w:bookmarkEnd w:id="71"/>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72" w:name="参照建筑天窗K"/>
            <w:r>
              <w:rPr>
                <w:rFonts w:hint="eastAsia" w:eastAsia="宋体"/>
                <w:kern w:val="0"/>
                <w:sz w:val="21"/>
                <w:szCs w:val="21"/>
                <w:lang w:eastAsia="zh-CN"/>
              </w:rPr>
              <w:t>－</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73" w:name="天窗SHGC"/>
            <w:r>
              <w:rPr>
                <w:rFonts w:hint="eastAsia" w:eastAsia="宋体"/>
                <w:bCs/>
                <w:sz w:val="21"/>
                <w:szCs w:val="21"/>
                <w:lang w:eastAsia="zh-CN"/>
              </w:rPr>
              <w:t>－</w:t>
            </w:r>
            <w:bookmarkEnd w:id="73"/>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74" w:name="参照建筑天窗SHGC"/>
            <w:r>
              <w:rPr>
                <w:rFonts w:hint="eastAsia" w:eastAsia="宋体"/>
                <w:kern w:val="0"/>
                <w:sz w:val="21"/>
                <w:szCs w:val="21"/>
                <w:lang w:eastAsia="zh-CN"/>
              </w:rPr>
              <w:t>－</w:t>
            </w:r>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75" w:name="挑空楼板K"/>
            <w:r>
              <w:rPr>
                <w:rFonts w:hint="eastAsia" w:eastAsia="宋体"/>
                <w:bCs/>
                <w:sz w:val="21"/>
                <w:szCs w:val="21"/>
                <w:lang w:eastAsia="zh-CN"/>
              </w:rPr>
              <w:t>0.51</w:t>
            </w:r>
            <w:bookmarkEnd w:id="75"/>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0.70</w:t>
            </w:r>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bookmarkStart w:id="77" w:name="多立面－计算条件表－8－2－朝向立面窗墙比KSHGC参照"/>
            <w:r>
              <w:rPr>
                <w:rFonts w:hint="eastAsia" w:hAnsi="宋体" w:eastAsia="宋体"/>
                <w:bCs/>
                <w:sz w:val="21"/>
                <w:szCs w:val="21"/>
                <w:lang w:eastAsia="zh-CN"/>
              </w:rPr>
              <w:t>南向</w:t>
            </w:r>
            <w:bookmarkEnd w:id="77"/>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0.07</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0.07</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0.09</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0.44</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0.09</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0.07</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1.80</w:t>
            </w: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0.44</w:t>
            </w: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0.07</w:t>
            </w: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3.00</w:t>
            </w: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0.45</w:t>
            </w:r>
          </w:p>
        </w:tc>
      </w:tr>
    </w:tbl>
    <w:p>
      <w:pPr>
        <w:widowControl w:val="0"/>
        <w:jc w:val="both"/>
        <w:rPr>
          <w:color w:val="000000"/>
        </w:rPr>
      </w:pPr>
      <w:r>
        <w:rPr>
          <w:color w:val="000000"/>
        </w:rPr>
        <w:t>备注：1. — 代表本工程无对应项; 2. ——代表参照建筑不要求，取值同设计建筑。</w:t>
      </w:r>
    </w:p>
    <w:p>
      <w:pPr>
        <w:pStyle w:val="4"/>
        <w:widowControl w:val="0"/>
        <w:jc w:val="both"/>
        <w:rPr>
          <w:color w:val="000000"/>
        </w:rPr>
      </w:pPr>
      <w:bookmarkStart w:id="78" w:name="_Toc24804"/>
      <w:r>
        <w:rPr>
          <w:color w:val="000000"/>
        </w:rPr>
        <w:t>围护结构节能率</w:t>
      </w:r>
      <w:bookmarkEnd w:id="78"/>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bookmarkStart w:id="79" w:name="设计建筑别名"/>
            <w:r>
              <w:rPr>
                <w:rFonts w:hint="eastAsia"/>
                <w:lang w:val="en-US"/>
              </w:rPr>
              <w:t>设计建筑</w:t>
            </w:r>
            <w:bookmarkEnd w:id="79"/>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0"/>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80" w:name="节能率别名"/>
            <w:r>
              <w:rPr>
                <w:rFonts w:hint="eastAsia"/>
                <w:lang w:val="en-US"/>
              </w:rPr>
              <w:t>节能率</w:t>
            </w:r>
            <w:bookmarkEnd w:id="80"/>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81" w:name="耗冷量2"/>
            <w:r>
              <w:rPr>
                <w:rFonts w:hint="eastAsia"/>
                <w:lang w:val="en-US"/>
              </w:rPr>
              <w:t>43.00</w:t>
            </w:r>
            <w:bookmarkEnd w:id="81"/>
          </w:p>
        </w:tc>
        <w:tc>
          <w:tcPr>
            <w:tcW w:w="877" w:type="pct"/>
            <w:vAlign w:val="center"/>
          </w:tcPr>
          <w:p>
            <w:pPr>
              <w:ind w:firstLine="0" w:firstLineChars="0"/>
              <w:jc w:val="center"/>
              <w:rPr>
                <w:lang w:val="en-US"/>
              </w:rPr>
            </w:pPr>
            <w:bookmarkStart w:id="82" w:name="参照建筑耗冷量2"/>
            <w:r>
              <w:rPr>
                <w:rFonts w:hint="eastAsia"/>
                <w:lang w:val="en-US"/>
              </w:rPr>
              <w:t>45.50</w:t>
            </w:r>
            <w:bookmarkEnd w:id="82"/>
          </w:p>
        </w:tc>
        <w:tc>
          <w:tcPr>
            <w:tcW w:w="961" w:type="pct"/>
            <w:vAlign w:val="center"/>
          </w:tcPr>
          <w:p>
            <w:pPr>
              <w:ind w:firstLine="0" w:firstLineChars="0"/>
              <w:jc w:val="center"/>
              <w:rPr>
                <w:lang w:val="en-US"/>
              </w:rPr>
            </w:pPr>
            <w:bookmarkStart w:id="83" w:name="节能率耗冷量2"/>
            <w:r>
              <w:rPr>
                <w:rFonts w:hint="eastAsia"/>
                <w:lang w:val="en-US"/>
              </w:rPr>
              <w:t>5.50%</w:t>
            </w:r>
            <w:bookmarkEnd w:id="8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84" w:name="耗热量2"/>
            <w:r>
              <w:rPr>
                <w:rFonts w:hint="eastAsia"/>
                <w:lang w:val="en-US"/>
              </w:rPr>
              <w:t>16.68</w:t>
            </w:r>
            <w:bookmarkEnd w:id="84"/>
          </w:p>
        </w:tc>
        <w:tc>
          <w:tcPr>
            <w:tcW w:w="877" w:type="pct"/>
            <w:vAlign w:val="center"/>
          </w:tcPr>
          <w:p>
            <w:pPr>
              <w:ind w:firstLine="0" w:firstLineChars="0"/>
              <w:jc w:val="center"/>
              <w:rPr>
                <w:lang w:val="en-US"/>
              </w:rPr>
            </w:pPr>
            <w:bookmarkStart w:id="85" w:name="参照建筑耗热量2"/>
            <w:r>
              <w:rPr>
                <w:rFonts w:hint="eastAsia"/>
                <w:lang w:val="en-US"/>
              </w:rPr>
              <w:t>23.84</w:t>
            </w:r>
            <w:bookmarkEnd w:id="85"/>
          </w:p>
        </w:tc>
        <w:tc>
          <w:tcPr>
            <w:tcW w:w="961" w:type="pct"/>
            <w:vAlign w:val="center"/>
          </w:tcPr>
          <w:p>
            <w:pPr>
              <w:ind w:firstLine="0" w:firstLineChars="0"/>
              <w:jc w:val="center"/>
              <w:rPr>
                <w:lang w:val="en-US"/>
              </w:rPr>
            </w:pPr>
            <w:bookmarkStart w:id="86" w:name="节能率耗热量2"/>
            <w:r>
              <w:rPr>
                <w:rFonts w:hint="eastAsia"/>
                <w:lang w:val="en-US"/>
              </w:rPr>
              <w:t>30.02%</w:t>
            </w:r>
            <w:bookmarkEnd w:id="8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87" w:name="耗冷耗热量2"/>
            <w:r>
              <w:rPr>
                <w:rFonts w:hint="eastAsia"/>
                <w:lang w:val="en-US"/>
              </w:rPr>
              <w:t>59.68</w:t>
            </w:r>
            <w:bookmarkEnd w:id="87"/>
          </w:p>
        </w:tc>
        <w:tc>
          <w:tcPr>
            <w:tcW w:w="877" w:type="pct"/>
            <w:vAlign w:val="center"/>
          </w:tcPr>
          <w:p>
            <w:pPr>
              <w:ind w:firstLine="0" w:firstLineChars="0"/>
              <w:jc w:val="center"/>
              <w:rPr>
                <w:lang w:val="en-US"/>
              </w:rPr>
            </w:pPr>
            <w:bookmarkStart w:id="88" w:name="参照建筑耗冷耗热量2"/>
            <w:r>
              <w:rPr>
                <w:rFonts w:hint="eastAsia"/>
                <w:lang w:val="en-US"/>
              </w:rPr>
              <w:t>69.33</w:t>
            </w:r>
            <w:bookmarkEnd w:id="88"/>
          </w:p>
        </w:tc>
        <w:tc>
          <w:tcPr>
            <w:tcW w:w="961" w:type="pct"/>
            <w:vAlign w:val="center"/>
          </w:tcPr>
          <w:p>
            <w:pPr>
              <w:ind w:firstLine="0" w:firstLineChars="0"/>
              <w:jc w:val="center"/>
              <w:rPr>
                <w:lang w:val="en-US"/>
              </w:rPr>
            </w:pPr>
            <w:bookmarkStart w:id="89" w:name="节能率耗冷耗热量2"/>
            <w:r>
              <w:rPr>
                <w:rFonts w:hint="eastAsia"/>
                <w:lang w:val="en-US"/>
              </w:rPr>
              <w:t>13.93%</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90" w:name="供冷综合效率折算权重"/>
            <w:r>
              <w:rPr>
                <w:rFonts w:hint="eastAsia"/>
                <w:lang w:val="en-US"/>
              </w:rPr>
              <w:t>2.5</w:t>
            </w:r>
            <w:bookmarkEnd w:id="90"/>
          </w:p>
        </w:tc>
        <w:tc>
          <w:tcPr>
            <w:tcW w:w="877" w:type="pct"/>
            <w:vAlign w:val="center"/>
          </w:tcPr>
          <w:p>
            <w:pPr>
              <w:ind w:firstLine="0" w:firstLineChars="0"/>
              <w:jc w:val="center"/>
              <w:rPr>
                <w:lang w:val="en-US"/>
              </w:rPr>
            </w:pPr>
            <w:bookmarkStart w:id="91" w:name="供冷综合效率折算权重2"/>
            <w:r>
              <w:rPr>
                <w:rFonts w:hint="eastAsia"/>
                <w:lang w:val="en-US"/>
              </w:rPr>
              <w:t>2.5</w:t>
            </w:r>
            <w:bookmarkEnd w:id="91"/>
          </w:p>
        </w:tc>
        <w:tc>
          <w:tcPr>
            <w:tcW w:w="961" w:type="pct"/>
            <w:vMerge w:val="restart"/>
            <w:vAlign w:val="center"/>
          </w:tcPr>
          <w:p>
            <w:pPr>
              <w:ind w:firstLine="0" w:firstLineChars="0"/>
              <w:jc w:val="center"/>
              <w:rPr>
                <w:lang w:val="en-US"/>
              </w:rPr>
            </w:pPr>
            <w:bookmarkStart w:id="92" w:name="节能率空调能耗"/>
            <w:r>
              <w:rPr>
                <w:rFonts w:hint="eastAsia"/>
                <w:lang w:val="en-US"/>
              </w:rPr>
              <w:t>5.50%</w:t>
            </w:r>
            <w:bookmarkEnd w:id="9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93" w:name="空调能耗"/>
            <w:r>
              <w:rPr>
                <w:rFonts w:hint="eastAsia"/>
                <w:lang w:val="en-US"/>
              </w:rPr>
              <w:t>17.20</w:t>
            </w:r>
            <w:bookmarkEnd w:id="93"/>
          </w:p>
        </w:tc>
        <w:tc>
          <w:tcPr>
            <w:tcW w:w="877" w:type="pct"/>
            <w:vAlign w:val="center"/>
          </w:tcPr>
          <w:p>
            <w:pPr>
              <w:ind w:firstLine="0" w:firstLineChars="0"/>
              <w:jc w:val="center"/>
              <w:rPr>
                <w:lang w:val="en-US"/>
              </w:rPr>
            </w:pPr>
            <w:bookmarkStart w:id="94" w:name="参照建筑空调能耗"/>
            <w:r>
              <w:rPr>
                <w:rFonts w:hint="eastAsia"/>
                <w:lang w:val="en-US"/>
              </w:rPr>
              <w:t>18.20</w:t>
            </w:r>
            <w:bookmarkEnd w:id="94"/>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95" w:name="供暖综合效率折算权重"/>
            <w:r>
              <w:rPr>
                <w:rFonts w:hint="eastAsia"/>
                <w:lang w:val="en-US"/>
              </w:rPr>
              <w:t>2.2</w:t>
            </w:r>
            <w:bookmarkEnd w:id="95"/>
          </w:p>
        </w:tc>
        <w:tc>
          <w:tcPr>
            <w:tcW w:w="877" w:type="pct"/>
            <w:vAlign w:val="center"/>
          </w:tcPr>
          <w:p>
            <w:pPr>
              <w:ind w:firstLine="0" w:firstLineChars="0"/>
              <w:jc w:val="center"/>
              <w:rPr>
                <w:lang w:val="en-US"/>
              </w:rPr>
            </w:pPr>
            <w:bookmarkStart w:id="96" w:name="供暖综合效率折算权重2"/>
            <w:r>
              <w:rPr>
                <w:rFonts w:hint="eastAsia"/>
                <w:lang w:val="en-US"/>
              </w:rPr>
              <w:t>2.2</w:t>
            </w:r>
            <w:bookmarkEnd w:id="96"/>
          </w:p>
        </w:tc>
        <w:tc>
          <w:tcPr>
            <w:tcW w:w="961" w:type="pct"/>
            <w:vMerge w:val="restart"/>
            <w:vAlign w:val="center"/>
          </w:tcPr>
          <w:p>
            <w:pPr>
              <w:ind w:firstLine="0" w:firstLineChars="0"/>
              <w:jc w:val="center"/>
              <w:rPr>
                <w:lang w:val="en-US"/>
              </w:rPr>
            </w:pPr>
            <w:bookmarkStart w:id="97" w:name="节能率供暖能耗"/>
            <w:r>
              <w:rPr>
                <w:rFonts w:hint="eastAsia"/>
                <w:lang w:val="en-US"/>
              </w:rPr>
              <w:t>30.02%</w:t>
            </w:r>
            <w:bookmarkEnd w:id="9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98" w:name="供暖能耗"/>
            <w:r>
              <w:rPr>
                <w:rFonts w:hint="eastAsia"/>
                <w:lang w:val="en-US"/>
              </w:rPr>
              <w:t>7.58</w:t>
            </w:r>
            <w:bookmarkEnd w:id="98"/>
          </w:p>
        </w:tc>
        <w:tc>
          <w:tcPr>
            <w:tcW w:w="877" w:type="pct"/>
            <w:vAlign w:val="center"/>
          </w:tcPr>
          <w:p>
            <w:pPr>
              <w:ind w:firstLine="0" w:firstLineChars="0"/>
              <w:jc w:val="center"/>
              <w:rPr>
                <w:lang w:val="en-US"/>
              </w:rPr>
            </w:pPr>
            <w:bookmarkStart w:id="99" w:name="参照建筑供暖能耗"/>
            <w:r>
              <w:rPr>
                <w:rFonts w:hint="eastAsia"/>
                <w:lang w:val="en-US"/>
              </w:rPr>
              <w:t>10.83</w:t>
            </w:r>
            <w:bookmarkEnd w:id="99"/>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00" w:name="空调供暖能耗"/>
            <w:r>
              <w:rPr>
                <w:rFonts w:hint="eastAsia"/>
                <w:lang w:val="en-US"/>
              </w:rPr>
              <w:t>24.78</w:t>
            </w:r>
            <w:bookmarkEnd w:id="100"/>
          </w:p>
        </w:tc>
        <w:tc>
          <w:tcPr>
            <w:tcW w:w="877" w:type="pct"/>
            <w:vAlign w:val="center"/>
          </w:tcPr>
          <w:p>
            <w:pPr>
              <w:ind w:firstLine="0" w:firstLineChars="0"/>
              <w:jc w:val="center"/>
              <w:rPr>
                <w:lang w:val="en-US"/>
              </w:rPr>
            </w:pPr>
            <w:bookmarkStart w:id="101" w:name="参照建筑空调供暖能耗"/>
            <w:r>
              <w:rPr>
                <w:rFonts w:hint="eastAsia"/>
                <w:lang w:val="en-US"/>
              </w:rPr>
              <w:t>29.03</w:t>
            </w:r>
            <w:bookmarkEnd w:id="101"/>
          </w:p>
        </w:tc>
        <w:tc>
          <w:tcPr>
            <w:tcW w:w="961" w:type="pct"/>
            <w:vAlign w:val="center"/>
          </w:tcPr>
          <w:p>
            <w:pPr>
              <w:ind w:firstLine="0" w:firstLineChars="0"/>
              <w:jc w:val="center"/>
              <w:rPr>
                <w:lang w:val="en-US"/>
              </w:rPr>
            </w:pPr>
            <w:bookmarkStart w:id="102" w:name="节能率空调供暖能耗"/>
            <w:r>
              <w:rPr>
                <w:rFonts w:hint="eastAsia"/>
                <w:lang w:val="en-US"/>
              </w:rPr>
              <w:t>1</w:t>
            </w:r>
            <w:r>
              <w:rPr>
                <w:rFonts w:hint="eastAsia"/>
                <w:lang w:val="en-US" w:eastAsia="zh-CN"/>
              </w:rPr>
              <w:t>5</w:t>
            </w:r>
            <w:r>
              <w:rPr>
                <w:rFonts w:hint="eastAsia"/>
                <w:lang w:val="en-US"/>
              </w:rPr>
              <w:t>.65%</w:t>
            </w:r>
            <w:bookmarkEnd w:id="102"/>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103" w:name="_Toc16454"/>
      <w:r>
        <w:rPr>
          <w:color w:val="000000"/>
        </w:rPr>
        <w:t>绿色建筑性能评估得分</w:t>
      </w:r>
      <w:bookmarkEnd w:id="10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bookmarkStart w:id="109" w:name="_GoBack"/>
            <w:bookmarkEnd w:id="109"/>
          </w:p>
        </w:tc>
        <w:tc>
          <w:tcPr>
            <w:tcW w:w="992" w:type="dxa"/>
            <w:vAlign w:val="center"/>
          </w:tcPr>
          <w:p>
            <w:bookmarkStart w:id="104" w:name="节能率计算目标"/>
            <w:r>
              <w:t>1</w:t>
            </w:r>
            <w:r>
              <w:rPr>
                <w:rFonts w:hint="eastAsia"/>
                <w:lang w:val="en-US" w:eastAsia="zh-CN"/>
              </w:rPr>
              <w:t>5</w:t>
            </w:r>
            <w:r>
              <w:t>.65%</w:t>
            </w:r>
            <w:bookmarkEnd w:id="104"/>
          </w:p>
        </w:tc>
        <w:tc>
          <w:tcPr>
            <w:tcW w:w="706" w:type="dxa"/>
            <w:vAlign w:val="center"/>
          </w:tcPr>
          <w:p>
            <w:pPr>
              <w:rPr>
                <w:rFonts w:hint="default" w:eastAsia="宋体"/>
                <w:lang w:val="en-US" w:eastAsia="zh-CN"/>
              </w:rPr>
            </w:pPr>
            <w:r>
              <w:rPr>
                <w:rFonts w:hint="eastAsia"/>
                <w:lang w:val="en-US" w:eastAsia="zh-CN"/>
              </w:rP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05" w:name="_Toc32672"/>
      <w:r>
        <w:t>附录</w:t>
      </w:r>
      <w:bookmarkEnd w:id="105"/>
    </w:p>
    <w:p>
      <w:pPr>
        <w:pStyle w:val="4"/>
        <w:jc w:val="both"/>
      </w:pPr>
      <w:bookmarkStart w:id="106" w:name="_Toc27205"/>
      <w:r>
        <w:t>工作日/节假日人员逐时在室率(%)</w:t>
      </w:r>
      <w:bookmarkEnd w:id="10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107" w:name="_Toc11434"/>
      <w:r>
        <w:t>工作日/节假日照明开关时间表(%)</w:t>
      </w:r>
      <w:bookmarkEnd w:id="10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108" w:name="_Toc10547"/>
      <w:r>
        <w:t>工作日/节假日设备逐时使用率(%)</w:t>
      </w:r>
      <w:bookmarkEnd w:id="10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25B81851"/>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25B81851"/>
    <w:rsid w:val="42911FAE"/>
    <w:rsid w:val="5713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10</Pages>
  <Words>3448</Words>
  <Characters>5240</Characters>
  <Lines>47</Lines>
  <Paragraphs>13</Paragraphs>
  <TotalTime>0</TotalTime>
  <ScaleCrop>false</ScaleCrop>
  <LinksUpToDate>false</LinksUpToDate>
  <CharactersWithSpaces>5392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2022-12-31T04:32:00Z</dcterms:created>
  <dc:creator>小辉</dc:creator>
  <cp:lastModifiedBy>小辉</cp:lastModifiedBy>
  <dcterms:modified xsi:type="dcterms:W3CDTF">2023-03-01T08:27:22Z</dcterms:modified>
  <dc:title>围护结构节能率计算书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35B9F38D045F4090AF05D234C2FCF631</vt:lpwstr>
  </property>
  <property fmtid="{D5CDD505-2E9C-101B-9397-08002B2CF9AE}" pid="3" name="KSOProductBuildVer">
    <vt:lpwstr>2052-11.1.0.13703</vt:lpwstr>
  </property>
</Properties>
</file>