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2022年12月23日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20220808</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_Toc28589 </w:instrText>
      </w:r>
      <w:r>
        <w:rPr>
          <w:rFonts w:ascii="宋体" w:hAnsi="宋体"/>
          <w:bCs w:val="0"/>
          <w:caps/>
        </w:rPr>
        <w:fldChar w:fldCharType="separate"/>
      </w:r>
      <w:r>
        <w:rPr>
          <w:rFonts w:hint="eastAsia"/>
        </w:rPr>
        <w:t>1 项目概况</w:t>
      </w:r>
      <w:r>
        <w:tab/>
      </w:r>
      <w:r>
        <w:fldChar w:fldCharType="begin"/>
      </w:r>
      <w:r>
        <w:instrText xml:space="preserve"> PAGEREF _Toc28589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_Toc23970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_Toc23970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_Toc30914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_Toc30914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 </w:instrText>
      </w:r>
      <w:r>
        <w:fldChar w:fldCharType="separate"/>
      </w:r>
      <w:r>
        <w:rPr>
          <w:rFonts w:hint="eastAsia"/>
        </w:rPr>
        <w:t>2 计算</w:t>
      </w:r>
      <w:r>
        <w:t>依据</w:t>
      </w:r>
      <w:r>
        <w:tab/>
      </w:r>
      <w:r>
        <w:fldChar w:fldCharType="begin"/>
      </w:r>
      <w:r>
        <w:instrText xml:space="preserve"> PAGEREF _Toc25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_Toc2274 </w:instrText>
      </w:r>
      <w:r>
        <w:fldChar w:fldCharType="separate"/>
      </w:r>
      <w:r>
        <w:rPr>
          <w:rFonts w:hint="eastAsia"/>
        </w:rPr>
        <w:t>3 参考</w:t>
      </w:r>
      <w:r>
        <w:t>标准</w:t>
      </w:r>
      <w:r>
        <w:tab/>
      </w:r>
      <w:r>
        <w:fldChar w:fldCharType="begin"/>
      </w:r>
      <w:r>
        <w:instrText xml:space="preserve"> PAGEREF _Toc2274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_Toc22344 </w:instrText>
      </w:r>
      <w:r>
        <w:fldChar w:fldCharType="separate"/>
      </w:r>
      <w:r>
        <w:rPr>
          <w:rFonts w:hint="eastAsia"/>
        </w:rPr>
        <w:t>4 计算原理</w:t>
      </w:r>
      <w:r>
        <w:tab/>
      </w:r>
      <w:r>
        <w:fldChar w:fldCharType="begin"/>
      </w:r>
      <w:r>
        <w:instrText xml:space="preserve"> PAGEREF _Toc22344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_Toc8770 </w:instrText>
      </w:r>
      <w:r>
        <w:fldChar w:fldCharType="separate"/>
      </w:r>
      <w:r>
        <w:rPr>
          <w:rFonts w:hint="eastAsia"/>
          <w:lang w:val="en-GB"/>
        </w:rPr>
        <w:t xml:space="preserve">4.1 </w:t>
      </w:r>
      <w:r>
        <w:rPr>
          <w:rFonts w:hint="eastAsia"/>
        </w:rPr>
        <w:t>风场计算域</w:t>
      </w:r>
      <w:r>
        <w:tab/>
      </w:r>
      <w:r>
        <w:fldChar w:fldCharType="begin"/>
      </w:r>
      <w:r>
        <w:instrText xml:space="preserve"> PAGEREF _Toc8770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_Toc3456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_Toc3456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_Toc23347 </w:instrText>
      </w:r>
      <w:r>
        <w:fldChar w:fldCharType="separate"/>
      </w:r>
      <w:r>
        <w:rPr>
          <w:rFonts w:hint="eastAsia"/>
          <w:lang w:val="en-GB"/>
        </w:rPr>
        <w:t xml:space="preserve">4.2 </w:t>
      </w:r>
      <w:r>
        <w:rPr>
          <w:rFonts w:hint="eastAsia"/>
        </w:rPr>
        <w:t>网格划分</w:t>
      </w:r>
      <w:r>
        <w:tab/>
      </w:r>
      <w:r>
        <w:fldChar w:fldCharType="begin"/>
      </w:r>
      <w:r>
        <w:instrText xml:space="preserve"> PAGEREF _Toc23347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_Toc10248 </w:instrText>
      </w:r>
      <w:r>
        <w:fldChar w:fldCharType="separate"/>
      </w:r>
      <w:r>
        <w:rPr>
          <w:rFonts w:hint="eastAsia"/>
          <w:lang w:val="en-GB"/>
        </w:rPr>
        <w:t xml:space="preserve">4.3 </w:t>
      </w:r>
      <w:r>
        <w:rPr>
          <w:rFonts w:hint="eastAsia"/>
        </w:rPr>
        <w:t>边界条件</w:t>
      </w:r>
      <w:r>
        <w:tab/>
      </w:r>
      <w:r>
        <w:fldChar w:fldCharType="begin"/>
      </w:r>
      <w:r>
        <w:instrText xml:space="preserve"> PAGEREF _Toc10248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_Toc13103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_Toc13103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_Toc17017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_Toc17017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_Toc12620 </w:instrText>
      </w:r>
      <w:r>
        <w:fldChar w:fldCharType="separate"/>
      </w:r>
      <w:r>
        <w:rPr>
          <w:rFonts w:hint="eastAsia"/>
          <w:lang w:val="en-GB"/>
        </w:rPr>
        <w:t xml:space="preserve">4.4 </w:t>
      </w:r>
      <w:r>
        <w:rPr>
          <w:rFonts w:hint="eastAsia"/>
        </w:rPr>
        <w:t>湍流模型</w:t>
      </w:r>
      <w:r>
        <w:tab/>
      </w:r>
      <w:r>
        <w:fldChar w:fldCharType="begin"/>
      </w:r>
      <w:r>
        <w:instrText xml:space="preserve"> PAGEREF _Toc12620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_Toc16874 </w:instrText>
      </w:r>
      <w:r>
        <w:fldChar w:fldCharType="separate"/>
      </w:r>
      <w:r>
        <w:rPr>
          <w:rFonts w:hint="eastAsia"/>
          <w:lang w:val="en-GB"/>
        </w:rPr>
        <w:t xml:space="preserve">4.5 </w:t>
      </w:r>
      <w:r>
        <w:rPr>
          <w:rFonts w:hint="eastAsia"/>
        </w:rPr>
        <w:t>求解计算</w:t>
      </w:r>
      <w:r>
        <w:tab/>
      </w:r>
      <w:r>
        <w:fldChar w:fldCharType="begin"/>
      </w:r>
      <w:r>
        <w:instrText xml:space="preserve"> PAGEREF _Toc16874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_Toc7998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_Toc7998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_Toc3394 </w:instrText>
      </w:r>
      <w:r>
        <w:fldChar w:fldCharType="separate"/>
      </w:r>
      <w:r>
        <w:rPr>
          <w:rFonts w:hint="eastAsia"/>
        </w:rPr>
        <w:t>5 结果</w:t>
      </w:r>
      <w:r>
        <w:t>分析</w:t>
      </w:r>
      <w:r>
        <w:tab/>
      </w:r>
      <w:r>
        <w:fldChar w:fldCharType="begin"/>
      </w:r>
      <w:r>
        <w:instrText xml:space="preserve"> PAGEREF _Toc3394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_Toc5574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_Toc5574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_Toc28342 </w:instrText>
      </w:r>
      <w:r>
        <w:fldChar w:fldCharType="separate"/>
      </w:r>
      <w:r>
        <w:rPr>
          <w:rFonts w:hint="eastAsia"/>
          <w:lang w:val="en-GB"/>
        </w:rPr>
        <w:t xml:space="preserve">5.2 </w:t>
      </w:r>
      <w:r>
        <w:rPr>
          <w:rFonts w:hint="eastAsia"/>
        </w:rPr>
        <w:t>冬季工况</w:t>
      </w:r>
      <w:r>
        <w:tab/>
      </w:r>
      <w:r>
        <w:fldChar w:fldCharType="begin"/>
      </w:r>
      <w:r>
        <w:instrText xml:space="preserve"> PAGEREF _Toc28342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_Toc20510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_Toc20510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_Toc23598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_Toc23598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_Toc2137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_Toc2137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_Toc12082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_Toc12082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_Toc9031 </w:instrText>
      </w:r>
      <w:r>
        <w:fldChar w:fldCharType="separate"/>
      </w:r>
      <w:r>
        <w:rPr>
          <w:rFonts w:hint="eastAsia"/>
          <w:lang w:val="en-GB"/>
        </w:rPr>
        <w:t xml:space="preserve">5.3 </w:t>
      </w:r>
      <w:r>
        <w:rPr>
          <w:rFonts w:hint="eastAsia"/>
        </w:rPr>
        <w:t>结论</w:t>
      </w:r>
      <w:r>
        <w:tab/>
      </w:r>
      <w:r>
        <w:fldChar w:fldCharType="begin"/>
      </w:r>
      <w:r>
        <w:instrText xml:space="preserve"> PAGEREF _Toc9031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_Toc3355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_Toc3355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452108759"/>
      <w:bookmarkStart w:id="12" w:name="_Toc28589"/>
      <w:r>
        <w:rPr>
          <w:rFonts w:hint="eastAsia"/>
        </w:rPr>
        <w:t>项目概况</w:t>
      </w:r>
      <w:bookmarkEnd w:id="11"/>
      <w:bookmarkEnd w:id="12"/>
    </w:p>
    <w:p>
      <w:pPr>
        <w:pStyle w:val="3"/>
        <w:ind w:firstLine="420"/>
        <w:rPr>
          <w:lang w:val="en-US"/>
        </w:rPr>
      </w:pPr>
      <w:bookmarkStart w:id="13"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23970"/>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30914"/>
      <w:bookmarkStart w:id="19" w:name="_Toc452108761"/>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25"/>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《绿色建筑评价标准》GB/T50378-2019</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452108763"/>
      <w:bookmarkStart w:id="27" w:name="_Toc2274"/>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pPr>
        <w:pStyle w:val="3"/>
        <w:ind w:firstLine="420"/>
        <w:rPr>
          <w:lang w:val="en-US"/>
        </w:rPr>
      </w:pPr>
      <w:bookmarkStart w:id="29" w:name="_Toc452108764"/>
      <w:bookmarkStart w:id="30" w:name="_Toc451698935"/>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22344"/>
      <w:r>
        <w:rPr>
          <w:rFonts w:hint="eastAsia"/>
        </w:rPr>
        <w:t>计算原理</w:t>
      </w:r>
      <w:bookmarkEnd w:id="29"/>
      <w:bookmarkEnd w:id="30"/>
      <w:bookmarkEnd w:id="36"/>
    </w:p>
    <w:p>
      <w:pPr>
        <w:pStyle w:val="4"/>
        <w:numPr>
          <w:ilvl w:val="1"/>
          <w:numId w:val="3"/>
        </w:numPr>
      </w:pPr>
      <w:bookmarkStart w:id="37" w:name="_Toc8770"/>
      <w:bookmarkStart w:id="38" w:name="_Toc509844740"/>
      <w:bookmarkStart w:id="39" w:name="_Toc452108765"/>
      <w:bookmarkStart w:id="40" w:name="_Toc451698937"/>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季节1"/>
      <w:bookmarkStart w:id="42" w:name="_Toc3456"/>
      <w:r>
        <w:rPr>
          <w:rFonts w:hint="eastAsia"/>
        </w:rPr>
        <w:t>冬季</w:t>
      </w:r>
      <w:bookmarkEnd w:id="41"/>
      <w:r>
        <w:rPr>
          <w:rFonts w:hint="eastAsia"/>
        </w:rPr>
        <w:t>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3" w:name="季节2"/>
      <w:r>
        <w:rPr>
          <w:rFonts w:hint="eastAsia" w:ascii="黑体" w:hAnsi="黑体" w:eastAsia="黑体"/>
          <w:sz w:val="20"/>
          <w:szCs w:val="20"/>
        </w:rPr>
        <w:t>冬季</w:t>
      </w:r>
      <w:bookmarkEnd w:id="4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X尺寸"/>
            <w:r>
              <w:t>286</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Y尺寸"/>
            <w:r>
              <w:t>166</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Z尺寸"/>
            <w:r>
              <w:t>106</w:t>
            </w:r>
            <w:bookmarkEnd w:id="46"/>
          </w:p>
        </w:tc>
      </w:tr>
    </w:tbl>
    <w:p>
      <w:pPr>
        <w:pStyle w:val="3"/>
        <w:ind w:firstLine="0" w:firstLineChars="0"/>
        <w:jc w:val="center"/>
        <w:rPr>
          <w:lang w:val="en-US"/>
        </w:rPr>
      </w:pPr>
      <w:bookmarkStart w:id="47" w:name="冬季工况风场计算域图示"/>
      <w:bookmarkEnd w:id="47"/>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8" w:name="季节3"/>
      <w:r>
        <w:rPr>
          <w:rFonts w:hint="eastAsia" w:ascii="黑体" w:hAnsi="黑体"/>
        </w:rPr>
        <w:t>冬季</w:t>
      </w:r>
      <w:bookmarkEnd w:id="48"/>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bookmarkEnd w:id="4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23347"/>
      <w:bookmarkStart w:id="51" w:name="_Toc509844741"/>
      <w:r>
        <w:rPr>
          <w:rFonts w:hint="eastAsia"/>
        </w:rPr>
        <w:t>网格划分</w:t>
      </w:r>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7"/>
      <w:bookmarkStart w:id="53" w:name="OLE_LINK276"/>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5"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bookmarkEnd w:id="55"/>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6" w:name="冬季网格总数"/>
            <w:r>
              <w:t>93439</w:t>
            </w:r>
            <w:bookmarkEnd w:id="5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分弧精度"/>
            <w:r>
              <w:t>0.24</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初始网格"/>
            <w:r>
              <w:t>8.0</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小细分级数"/>
            <w:r>
              <w:t>1</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最大细分级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远场细分级数"/>
            <w:r>
              <w:t>1</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近场细分级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地面附面层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建筑附面层数"/>
            <w:r>
              <w:t>0</w:t>
            </w:r>
            <w:bookmarkEnd w:id="64"/>
          </w:p>
        </w:tc>
      </w:tr>
      <w:bookmarkEnd w:id="0"/>
      <w:bookmarkEnd w:id="1"/>
      <w:bookmarkEnd w:id="2"/>
    </w:tbl>
    <w:p>
      <w:pPr>
        <w:rPr>
          <w:szCs w:val="21"/>
          <w:lang w:val="en-US"/>
        </w:rPr>
      </w:pPr>
    </w:p>
    <w:p>
      <w:pPr>
        <w:jc w:val="center"/>
      </w:pPr>
      <w:bookmarkStart w:id="65" w:name="网格图"/>
      <w:bookmarkEnd w:id="65"/>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6" w:name="季节"/>
      <w:r>
        <w:rPr>
          <w:rFonts w:hint="eastAsia" w:ascii="黑体" w:hAnsi="黑体" w:eastAsia="黑体"/>
          <w:sz w:val="20"/>
          <w:szCs w:val="20"/>
        </w:rPr>
        <w:t>冬季</w:t>
      </w:r>
      <w:bookmarkEnd w:id="66"/>
    </w:p>
    <w:p>
      <w:pPr>
        <w:pStyle w:val="3"/>
        <w:ind w:firstLine="630" w:firstLineChars="300"/>
        <w:rPr>
          <w:rFonts w:ascii="黑体" w:hAnsi="黑体" w:eastAsia="黑体"/>
          <w:szCs w:val="20"/>
          <w:lang w:val="en-US"/>
        </w:rPr>
      </w:pPr>
      <w:bookmarkStart w:id="67" w:name="网格划分信息"/>
      <w:bookmarkEnd w:id="67"/>
      <w:r>
        <w:rPr>
          <w:rFonts w:hint="eastAsia" w:ascii="黑体" w:hAnsi="黑体" w:eastAsia="黑体"/>
          <w:szCs w:val="20"/>
          <w:lang w:val="en-US"/>
        </w:rPr>
        <w:t>注：前述计算域随风向不同，所以相同的网格方案会产生不同的网格数量。</w:t>
      </w:r>
    </w:p>
    <w:bookmarkEnd w:id="51"/>
    <w:p>
      <w:pPr>
        <w:pStyle w:val="3"/>
        <w:ind w:firstLine="0" w:firstLineChars="0"/>
        <w:rPr>
          <w:rFonts w:ascii="黑体" w:hAnsi="黑体" w:eastAsia="黑体"/>
          <w:szCs w:val="20"/>
          <w:lang w:val="en-US"/>
        </w:rPr>
      </w:pPr>
    </w:p>
    <w:p>
      <w:pPr>
        <w:pStyle w:val="4"/>
        <w:numPr>
          <w:ilvl w:val="1"/>
          <w:numId w:val="3"/>
        </w:numPr>
      </w:pPr>
      <w:bookmarkStart w:id="68" w:name="_Toc509844742"/>
      <w:bookmarkStart w:id="69" w:name="_Toc10248"/>
      <w:r>
        <w:rPr>
          <w:rFonts w:hint="eastAsia"/>
        </w:rPr>
        <w:t>边界条件</w:t>
      </w:r>
      <w:bookmarkEnd w:id="68"/>
      <w:bookmarkEnd w:id="6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0" w:name="_Toc509844743"/>
      <w:bookmarkStart w:id="71" w:name="_Toc13103"/>
      <w:r>
        <w:rPr>
          <w:rFonts w:hint="eastAsia"/>
        </w:rPr>
        <w:t>入口与出口边界条件</w:t>
      </w:r>
      <w:bookmarkEnd w:id="70"/>
      <w:bookmarkEnd w:id="7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3" w:name="_Toc509844744"/>
      <w:bookmarkStart w:id="74" w:name="_Toc17017"/>
      <w:r>
        <w:rPr>
          <w:rFonts w:hint="eastAsia"/>
        </w:rPr>
        <w:t>壁面边界条件</w:t>
      </w:r>
      <w:bookmarkEnd w:id="73"/>
      <w:bookmarkEnd w:id="7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5" w:name="_Toc12620"/>
      <w:r>
        <w:rPr>
          <w:rFonts w:hint="eastAsia"/>
        </w:rPr>
        <w:t>湍流模型</w:t>
      </w:r>
      <w:bookmarkEnd w:id="39"/>
      <w:bookmarkEnd w:id="40"/>
      <w:bookmarkEnd w:id="7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6" w:name="_Toc452108767"/>
      <w:bookmarkStart w:id="77" w:name="_Toc16874"/>
      <w:bookmarkStart w:id="78" w:name="_Toc451698939"/>
      <w:r>
        <w:rPr>
          <w:rFonts w:hint="eastAsia"/>
        </w:rPr>
        <w:t>求解计算</w:t>
      </w:r>
      <w:bookmarkEnd w:id="76"/>
      <w:bookmarkEnd w:id="77"/>
      <w:bookmarkEnd w:id="7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9"/>
      <w:r>
        <w:rPr>
          <w:rFonts w:hint="eastAsia" w:ascii="黑体" w:hAnsi="黑体" w:eastAsia="黑体"/>
          <w:sz w:val="20"/>
          <w:szCs w:val="20"/>
        </w:rPr>
        <w:t xml:space="preserve"> </w:t>
      </w:r>
      <w:bookmarkStart w:id="80" w:name="_Ref225175618"/>
      <w:r>
        <w:rPr>
          <w:rFonts w:hint="eastAsia" w:ascii="黑体" w:hAnsi="黑体" w:eastAsia="黑体"/>
          <w:sz w:val="20"/>
          <w:szCs w:val="20"/>
        </w:rPr>
        <w:t>计算流体力学的控制方程</w:t>
      </w:r>
      <w:bookmarkEnd w:id="8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pPr>
        <w:pStyle w:val="4"/>
      </w:pPr>
      <w:bookmarkStart w:id="81" w:name="_Toc509844747"/>
      <w:bookmarkStart w:id="82" w:name="_Toc7998"/>
      <w:r>
        <w:rPr>
          <w:rFonts w:hint="eastAsia"/>
        </w:rPr>
        <w:t>风速放大系数计算</w:t>
      </w:r>
      <w:bookmarkEnd w:id="81"/>
      <w:bookmarkEnd w:id="8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4" w:name="_Toc3394"/>
      <w:bookmarkStart w:id="85" w:name="_Toc452108768"/>
      <w:r>
        <w:rPr>
          <w:rFonts w:hint="eastAsia"/>
        </w:rPr>
        <w:t>结果</w:t>
      </w:r>
      <w:r>
        <w:t>分析</w:t>
      </w:r>
      <w:bookmarkEnd w:id="84"/>
      <w:bookmarkEnd w:id="85"/>
    </w:p>
    <w:p>
      <w:pPr>
        <w:pStyle w:val="4"/>
        <w:rPr>
          <w:szCs w:val="21"/>
        </w:rPr>
      </w:pPr>
      <w:bookmarkStart w:id="86" w:name="_Toc5574"/>
      <w:r>
        <w:rPr>
          <w:rFonts w:hint="eastAsia"/>
          <w:szCs w:val="21"/>
        </w:rPr>
        <w:t>工况</w:t>
      </w:r>
      <w:r>
        <w:rPr>
          <w:szCs w:val="21"/>
        </w:rPr>
        <w:t>表</w:t>
      </w:r>
      <w:bookmarkEnd w:id="8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4.80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8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8" w:name="_Toc28342"/>
      <w:bookmarkStart w:id="89" w:name="_Toc509844750"/>
      <w:r>
        <w:rPr>
          <w:rFonts w:hint="eastAsia"/>
        </w:rPr>
        <w:t>冬季工况</w:t>
      </w:r>
      <w:bookmarkEnd w:id="88"/>
      <w:bookmarkEnd w:id="89"/>
    </w:p>
    <w:p>
      <w:pPr>
        <w:ind w:firstLine="420" w:firstLineChars="200"/>
        <w:jc w:val="both"/>
      </w:pPr>
      <w:r>
        <w:rPr>
          <w:rFonts w:hint="eastAsia"/>
          <w:lang w:val="en-US"/>
        </w:rPr>
        <w:t>本项目冬季工况的入口边界风速为</w:t>
      </w:r>
      <w:bookmarkStart w:id="90" w:name="冬季入口边界风速"/>
      <w:r>
        <w:rPr>
          <w:rFonts w:hint="eastAsia" w:ascii="Calibri" w:hAnsi="Calibri"/>
          <w:szCs w:val="21"/>
        </w:rPr>
        <w:t>4.80</w:t>
      </w:r>
      <w:bookmarkEnd w:id="90"/>
      <w:r>
        <w:rPr>
          <w:rFonts w:ascii="Calibri" w:hAnsi="Calibri"/>
          <w:szCs w:val="21"/>
        </w:rPr>
        <w:t>m/s</w:t>
      </w:r>
      <w:r>
        <w:rPr>
          <w:rFonts w:hint="eastAsia" w:ascii="Calibri" w:hAnsi="Calibri"/>
          <w:szCs w:val="21"/>
        </w:rPr>
        <w:t>，风向为</w:t>
      </w:r>
      <w:bookmarkStart w:id="91" w:name="冬季入口边界风向"/>
      <w:r>
        <w:rPr>
          <w:szCs w:val="21"/>
        </w:rPr>
        <w:t>N</w:t>
      </w:r>
      <w:bookmarkEnd w:id="91"/>
      <w:r>
        <w:rPr>
          <w:rFonts w:hint="eastAsia"/>
          <w:szCs w:val="21"/>
        </w:rPr>
        <w:t>。</w:t>
      </w:r>
    </w:p>
    <w:p>
      <w:pPr>
        <w:pStyle w:val="5"/>
      </w:pPr>
      <w:bookmarkStart w:id="92" w:name="_Toc20510"/>
      <w:bookmarkStart w:id="93" w:name="_Toc509844751"/>
      <w:r>
        <w:rPr>
          <w:rFonts w:hint="eastAsia"/>
        </w:rPr>
        <w:t>风速达标分析</w:t>
      </w:r>
      <w:bookmarkEnd w:id="92"/>
      <w:bookmarkEnd w:id="93"/>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4" w:name="冬季工况人行区风速分析结论"/>
      <w:bookmarkEnd w:id="94"/>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5" w:name="冬季工况人行区风速云图"/>
      <w:bookmarkEnd w:id="95"/>
      <w:bookmarkStart w:id="139" w:name="_GoBack"/>
      <w:r>
        <w:drawing>
          <wp:inline distT="0" distB="0" distL="0" distR="0">
            <wp:extent cx="5667375" cy="3228975"/>
            <wp:effectExtent l="0" t="0" r="9525" b="952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bookmarkEnd w:id="139"/>
    </w:p>
    <w:p>
      <w:pPr>
        <w:pStyle w:val="3"/>
        <w:ind w:firstLine="0" w:firstLineChars="0"/>
        <w:jc w:val="center"/>
        <w:rPr>
          <w:rFonts w:ascii="黑体" w:hAnsi="黑体" w:eastAsia="黑体"/>
          <w:sz w:val="20"/>
          <w:szCs w:val="20"/>
        </w:rPr>
      </w:pP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6" w:name="_Toc509844752"/>
      <w:bookmarkStart w:id="97" w:name="_Toc23598"/>
      <w:r>
        <w:rPr>
          <w:rFonts w:hint="eastAsia"/>
        </w:rPr>
        <w:t>风速放大系数达标分析</w:t>
      </w:r>
      <w:bookmarkEnd w:id="96"/>
      <w:bookmarkEnd w:id="97"/>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8" w:name="冬季工况人行区风速放大系数分析结论"/>
      <w:bookmarkEnd w:id="98"/>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9" w:name="冬季工况人行区风速放大系数云图"/>
      <w:bookmarkEnd w:id="99"/>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pPr>
        <w:pStyle w:val="3"/>
        <w:ind w:firstLine="0" w:firstLineChars="0"/>
        <w:jc w:val="center"/>
        <w:rPr>
          <w:lang w:val="en-US"/>
        </w:rPr>
      </w:pP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100" w:name="_Toc509844756"/>
      <w:bookmarkEnd w:id="100"/>
      <w:bookmarkStart w:id="101" w:name="_Toc509844754"/>
      <w:bookmarkEnd w:id="101"/>
      <w:bookmarkStart w:id="102" w:name="_Toc509844755"/>
      <w:bookmarkEnd w:id="102"/>
      <w:bookmarkStart w:id="103" w:name="_Toc509844757"/>
      <w:bookmarkEnd w:id="103"/>
    </w:p>
    <w:p>
      <w:pPr>
        <w:pStyle w:val="3"/>
        <w:ind w:firstLine="420"/>
        <w:rPr>
          <w:lang w:val="en-US"/>
        </w:rPr>
      </w:pPr>
    </w:p>
    <w:p>
      <w:pPr>
        <w:pStyle w:val="5"/>
      </w:pPr>
      <w:bookmarkStart w:id="104" w:name="_Toc509844753"/>
      <w:bookmarkStart w:id="105" w:name="_Toc2137"/>
      <w:r>
        <w:rPr>
          <w:rFonts w:hint="eastAsia"/>
        </w:rPr>
        <w:t>冬季工况风速/风速放大系数达标</w:t>
      </w:r>
      <w:bookmarkEnd w:id="104"/>
      <w:r>
        <w:rPr>
          <w:rFonts w:hint="eastAsia"/>
        </w:rPr>
        <w:t>结果汇总</w:t>
      </w:r>
      <w:bookmarkEnd w:id="10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风速是否有超限区域"/>
            <w:r>
              <w:rPr>
                <w:rFonts w:hint="eastAsia" w:ascii="宋体" w:hAnsi="宋体" w:cs="宋体"/>
                <w:color w:val="000000"/>
                <w:sz w:val="22"/>
                <w:szCs w:val="22"/>
                <w:lang w:val="en-US"/>
              </w:rPr>
              <w:t>否</w:t>
            </w:r>
            <w:bookmarkEnd w:id="10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风速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8" w:name="冬季工况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9" w:name="冬季工况风速放大系数达标判断"/>
            <w:r>
              <w:rPr>
                <w:rFonts w:hint="eastAsia" w:ascii="宋体" w:hAnsi="宋体" w:cs="宋体"/>
                <w:color w:val="000000"/>
                <w:sz w:val="22"/>
                <w:szCs w:val="22"/>
                <w:lang w:val="en-US"/>
              </w:rPr>
              <w:t>是</w:t>
            </w:r>
            <w:bookmarkEnd w:id="109"/>
          </w:p>
        </w:tc>
      </w:tr>
    </w:tbl>
    <w:p/>
    <w:p>
      <w:pPr>
        <w:pStyle w:val="5"/>
      </w:pPr>
      <w:bookmarkStart w:id="110" w:name="_Toc12082"/>
      <w:r>
        <w:rPr>
          <w:rFonts w:hint="eastAsia"/>
        </w:rPr>
        <w:t>建筑迎风面和背风面风压分析</w:t>
      </w:r>
      <w:bookmarkEnd w:id="13"/>
      <w:bookmarkEnd w:id="110"/>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1" w:name="冬季工况建筑迎风面风压云图"/>
      <w:bookmarkEnd w:id="111"/>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2" w:name="冬季工况建筑背风面风压云图"/>
      <w:bookmarkEnd w:id="112"/>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3" w:name="建筑迎风面和背风面风压差计算结果"/>
      <w:r>
        <w:rPr>
          <w:rFonts w:hint="eastAsia"/>
        </w:rPr>
        <w:t>建筑迎风面和背风面风压差计算结果</w:t>
      </w:r>
    </w:p>
    <w:p>
      <w:pPr>
        <w:jc w:val="center"/>
        <w:rPr>
          <w:rFonts w:ascii="Cambria" w:hAnsi="Cambria" w:eastAsia="黑体"/>
          <w:sz w:val="20"/>
        </w:rPr>
      </w:pPr>
      <w:bookmarkStart w:id="114"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5" w:name="建筑迎背风面风压差表_建筑名"/>
      <w:r>
        <w:rPr>
          <w:rFonts w:ascii="Cambria" w:hAnsi="Cambria" w:eastAsia="黑体"/>
          <w:sz w:val="20"/>
        </w:rPr>
        <w:t>DT单体</w:t>
      </w:r>
      <w:bookmarkEnd w:id="115"/>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-1.13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2.10</w:t>
            </w:r>
          </w:p>
        </w:tc>
      </w:tr>
      <w:bookmarkEnd w:id="114"/>
    </w:tbl>
    <w:p>
      <w:bookmarkStart w:id="116" w:name="结论"/>
      <w:bookmarkEnd w:id="116"/>
      <w:r>
        <w:t>标准要求：迎背风面窗平均风压差（绝对值）≤5Pa。结论：该楼</w:t>
      </w:r>
      <w:r>
        <w:rPr>
          <w:b/>
          <w:color w:val="0000FF"/>
        </w:rPr>
        <w:t>达标</w:t>
      </w:r>
      <w:r>
        <w:t>。</w:t>
      </w:r>
    </w:p>
    <w:bookmarkEnd w:id="113"/>
    <w:p>
      <w:pPr>
        <w:jc w:val="center"/>
        <w:rPr>
          <w:rFonts w:ascii="Cambria" w:hAnsi="Cambria" w:eastAsia="黑体"/>
          <w:sz w:val="20"/>
        </w:rPr>
      </w:pPr>
      <w:bookmarkStart w:id="117" w:name="建筑迎背风面风压差表_新增"/>
      <w:bookmarkEnd w:id="117"/>
    </w:p>
    <w:bookmarkEnd w:id="20"/>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077" w:type="dxa"/>
            <w:shd w:val="clear" w:color="auto" w:fill="E6E6E6"/>
            <w:vAlign w:val="center"/>
          </w:tcPr>
          <w:p>
            <w:pPr>
              <w:jc w:val="center"/>
              <w:rPr>
                <w:lang w:val="en-US"/>
              </w:rPr>
            </w:pPr>
            <w:bookmarkStart w:id="118"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w:t>
            </w:r>
          </w:p>
        </w:tc>
        <w:tc>
          <w:tcPr>
            <w:tcW w:w="1276" w:type="dxa"/>
            <w:shd w:val="clear" w:color="auto" w:fill="auto"/>
            <w:vAlign w:val="center"/>
          </w:tcPr>
          <w:p>
            <w:pPr>
              <w:jc w:val="center"/>
              <w:rPr>
                <w:lang w:val="en-US"/>
              </w:rPr>
            </w:pPr>
            <w:r>
              <w:rPr>
                <w:lang w:val="en-US"/>
              </w:rPr>
              <w:t>0.97</w:t>
            </w:r>
          </w:p>
        </w:tc>
        <w:tc>
          <w:tcPr>
            <w:tcW w:w="1276" w:type="dxa"/>
            <w:shd w:val="clear" w:color="auto" w:fill="auto"/>
            <w:vAlign w:val="center"/>
          </w:tcPr>
          <w:p>
            <w:pPr>
              <w:jc w:val="center"/>
              <w:rPr>
                <w:lang w:val="en-US"/>
              </w:rPr>
            </w:pPr>
            <w:r>
              <w:rPr>
                <w:lang w:val="en-US"/>
              </w:rPr>
              <w:t>-1.13</w:t>
            </w:r>
          </w:p>
        </w:tc>
        <w:tc>
          <w:tcPr>
            <w:tcW w:w="1701" w:type="dxa"/>
            <w:shd w:val="clear" w:color="auto" w:fill="auto"/>
            <w:vAlign w:val="center"/>
          </w:tcPr>
          <w:p>
            <w:pPr>
              <w:jc w:val="center"/>
              <w:rPr>
                <w:lang w:val="en-US"/>
              </w:rPr>
            </w:pPr>
            <w:r>
              <w:rPr>
                <w:lang w:val="en-US"/>
              </w:rPr>
              <w:t>2.10</w:t>
            </w:r>
          </w:p>
        </w:tc>
        <w:tc>
          <w:tcPr>
            <w:tcW w:w="973" w:type="dxa"/>
            <w:shd w:val="clear" w:color="auto" w:fill="auto"/>
            <w:vAlign w:val="center"/>
          </w:tcPr>
          <w:p>
            <w:pPr>
              <w:jc w:val="center"/>
              <w:rPr>
                <w:lang w:val="en-US"/>
              </w:rPr>
            </w:pPr>
            <w:r>
              <w:rPr>
                <w:lang w:val="en-US"/>
              </w:rPr>
              <w:t>是</w:t>
            </w:r>
          </w:p>
        </w:tc>
      </w:tr>
      <w:bookmarkEnd w:id="118"/>
    </w:tbl>
    <w:p>
      <w:pPr>
        <w:rPr>
          <w:lang w:val="en-US"/>
        </w:rPr>
      </w:pPr>
      <w:bookmarkStart w:id="119" w:name="建筑迎风和背风面风压差结论汇总结论"/>
      <w:bookmarkEnd w:id="119"/>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20" w:name="冬季工况"/>
      <w:bookmarkEnd w:id="120"/>
      <w:r>
        <w:rPr>
          <w:rFonts w:hint="eastAsia"/>
          <w:lang w:val="en-US"/>
        </w:rPr>
        <w:t xml:space="preserve"> </w:t>
      </w:r>
    </w:p>
    <w:p>
      <w:pPr>
        <w:rPr>
          <w:lang w:val="en-US"/>
        </w:rPr>
      </w:pPr>
      <w:bookmarkStart w:id="121" w:name="其他工况"/>
      <w:bookmarkEnd w:id="121"/>
      <w:r>
        <w:rPr>
          <w:rFonts w:hint="eastAsia"/>
          <w:lang w:val="en-US"/>
        </w:rPr>
        <w:t xml:space="preserve"> </w:t>
      </w:r>
    </w:p>
    <w:p>
      <w:pPr>
        <w:pStyle w:val="4"/>
      </w:pPr>
      <w:bookmarkStart w:id="122" w:name="_Toc9031"/>
      <w:bookmarkStart w:id="123" w:name="_Toc509844764"/>
      <w:r>
        <w:rPr>
          <w:rFonts w:hint="eastAsia"/>
        </w:rPr>
        <w:t>结论</w:t>
      </w:r>
      <w:bookmarkEnd w:id="122"/>
      <w:bookmarkEnd w:id="123"/>
    </w:p>
    <w:p>
      <w:pPr>
        <w:pStyle w:val="5"/>
      </w:pPr>
      <w:bookmarkStart w:id="124" w:name="_Toc3355"/>
      <w:bookmarkStart w:id="125" w:name="_Toc509844765"/>
      <w:r>
        <w:rPr>
          <w:rFonts w:hint="eastAsia"/>
        </w:rPr>
        <w:t>冬季工况达标判断</w:t>
      </w:r>
      <w:bookmarkEnd w:id="124"/>
      <w:bookmarkEnd w:id="125"/>
      <w:bookmarkStart w:id="126" w:name="_Toc509844766"/>
      <w:bookmarkEnd w:id="12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7" w:name="标准要求冬季风速得分"/>
            <w:r>
              <w:rPr>
                <w:rFonts w:hint="eastAsia"/>
                <w:lang w:val="en-US"/>
              </w:rPr>
              <w:t>3</w:t>
            </w:r>
            <w:bookmarkEnd w:id="127"/>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8" w:name="冬季风速结果计算域"/>
            <w:r>
              <w:t>没有出现</w:t>
            </w:r>
            <w:bookmarkEnd w:id="12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29" w:name="冬季风速达标判定"/>
            <w:r>
              <w:rPr>
                <w:rFonts w:hint="eastAsia"/>
                <w:b/>
                <w:lang w:val="en-US"/>
              </w:rPr>
              <w:t>达标</w:t>
            </w:r>
            <w:bookmarkEnd w:id="129"/>
          </w:p>
        </w:tc>
        <w:tc>
          <w:tcPr>
            <w:tcW w:w="1416" w:type="dxa"/>
            <w:vMerge w:val="restart"/>
            <w:tcBorders>
              <w:top w:val="single" w:color="auto" w:sz="4" w:space="0"/>
            </w:tcBorders>
            <w:shd w:val="clear" w:color="auto" w:fill="auto"/>
            <w:vAlign w:val="center"/>
          </w:tcPr>
          <w:p>
            <w:pPr>
              <w:jc w:val="center"/>
              <w:rPr>
                <w:lang w:val="en-US"/>
              </w:rPr>
            </w:pPr>
            <w:bookmarkStart w:id="130" w:name="冬季风速得分"/>
            <w:r>
              <w:rPr>
                <w:rFonts w:hint="eastAsia"/>
                <w:lang w:val="en-US"/>
              </w:rPr>
              <w:t>3</w:t>
            </w:r>
            <w:bookmarkEnd w:id="13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31" w:name="冬季风速放大系数结果计算域"/>
            <w:r>
              <w:t>没有出现</w:t>
            </w:r>
            <w:bookmarkEnd w:id="131"/>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2" w:name="标准要求冬季风压得分"/>
            <w:r>
              <w:rPr>
                <w:rFonts w:hint="eastAsia"/>
                <w:lang w:val="en-US"/>
              </w:rPr>
              <w:t>2</w:t>
            </w:r>
            <w:bookmarkEnd w:id="132"/>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33" w:name="冬季迎背风面结果"/>
            <w:r>
              <w:t>没有出现</w:t>
            </w:r>
            <w:bookmarkEnd w:id="133"/>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4" w:name="冬季迎背风面达标判定"/>
            <w:r>
              <w:rPr>
                <w:rFonts w:hint="eastAsia"/>
                <w:b/>
                <w:lang w:val="en-US"/>
              </w:rPr>
              <w:t>达标</w:t>
            </w:r>
            <w:bookmarkEnd w:id="134"/>
          </w:p>
        </w:tc>
        <w:tc>
          <w:tcPr>
            <w:tcW w:w="1416" w:type="dxa"/>
            <w:shd w:val="clear" w:color="auto" w:fill="auto"/>
            <w:vAlign w:val="center"/>
          </w:tcPr>
          <w:p>
            <w:pPr>
              <w:jc w:val="center"/>
              <w:rPr>
                <w:lang w:val="en-US"/>
              </w:rPr>
            </w:pPr>
            <w:bookmarkStart w:id="135" w:name="冬季迎背风面得分"/>
            <w:r>
              <w:rPr>
                <w:rFonts w:hint="eastAsia"/>
                <w:lang w:val="en-US"/>
              </w:rPr>
              <w:t>2</w:t>
            </w:r>
            <w:bookmarkEnd w:id="135"/>
            <w:r>
              <w:rPr>
                <w:rFonts w:hint="eastAsia"/>
                <w:lang w:val="en-US"/>
              </w:rPr>
              <w:t>分</w:t>
            </w:r>
          </w:p>
        </w:tc>
      </w:tr>
    </w:tbl>
    <w:p>
      <w:pPr>
        <w:rPr>
          <w:szCs w:val="21"/>
          <w:lang w:val="en-US"/>
        </w:rPr>
      </w:pPr>
      <w:bookmarkStart w:id="136" w:name="_Toc509844767"/>
      <w:bookmarkEnd w:id="136"/>
      <w:bookmarkStart w:id="137" w:name="_Toc509844768"/>
      <w:bookmarkEnd w:id="137"/>
    </w:p>
    <w:p>
      <w:pPr>
        <w:pStyle w:val="3"/>
        <w:ind w:firstLine="0" w:firstLineChars="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k4ZmIyZWFjYWIwZjdhMTdiNTVlMTM3ZDlhZTIifQ=="/>
  </w:docVars>
  <w:rsids>
    <w:rsidRoot w:val="15A95670"/>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15A95670"/>
    <w:rsid w:val="6B1E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tmp1.dotx</Template>
  <Pages>18</Pages>
  <Words>4661</Words>
  <Characters>5170</Characters>
  <Lines>41</Lines>
  <Paragraphs>11</Paragraphs>
  <TotalTime>3</TotalTime>
  <ScaleCrop>false</ScaleCrop>
  <LinksUpToDate>false</LinksUpToDate>
  <CharactersWithSpaces>5369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2022-12-23T09:25:00Z</dcterms:created>
  <dc:creator>小辉</dc:creator>
  <cp:lastModifiedBy>小辉</cp:lastModifiedBy>
  <dcterms:modified xsi:type="dcterms:W3CDTF">2023-02-14T08:56:43Z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6F0DA7F37F614EED886D25C14B868EB7</vt:lpwstr>
  </property>
  <property fmtid="{D5CDD505-2E9C-101B-9397-08002B2CF9AE}" pid="3" name="KSOProductBuildVer">
    <vt:lpwstr>2052-11.1.0.13703</vt:lpwstr>
  </property>
</Properties>
</file>